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1A006" w14:textId="194BD791" w:rsidR="001E6A9C" w:rsidRDefault="001E6A9C" w:rsidP="001E6A9C">
      <w:r>
        <w:t>Příloha č. 1 Smlouvy</w:t>
      </w:r>
    </w:p>
    <w:p w14:paraId="55ADA3D4" w14:textId="52387808" w:rsidR="0000132E" w:rsidRPr="008A57B0" w:rsidRDefault="001E6A9C" w:rsidP="008A57B0">
      <w:pPr>
        <w:pStyle w:val="Nadpis1"/>
      </w:pPr>
      <w:r>
        <w:t>S</w:t>
      </w:r>
      <w:r w:rsidR="3B986EA1" w:rsidRPr="008A57B0">
        <w:t>pecifikace</w:t>
      </w:r>
      <w:r>
        <w:t xml:space="preserve"> plnění</w:t>
      </w:r>
      <w:r w:rsidR="00697C91" w:rsidRPr="008A57B0">
        <w:t xml:space="preserve"> „Rozvoj </w:t>
      </w:r>
      <w:r w:rsidR="00620CCA" w:rsidRPr="008A57B0">
        <w:t>modulu RE-FX</w:t>
      </w:r>
      <w:r w:rsidR="4E4807E7" w:rsidRPr="008A57B0">
        <w:t xml:space="preserve"> a energetika</w:t>
      </w:r>
      <w:r w:rsidR="00697C91" w:rsidRPr="008A57B0">
        <w:t>“</w:t>
      </w:r>
    </w:p>
    <w:p w14:paraId="0CE8E9AC" w14:textId="77777777" w:rsidR="00E64B28" w:rsidRDefault="00E64B28" w:rsidP="001A7EFA">
      <w:pPr>
        <w:jc w:val="both"/>
        <w:rPr>
          <w:rStyle w:val="normaltextrun"/>
          <w:b/>
          <w:bCs/>
          <w:color w:val="FF5200"/>
          <w:shd w:val="clear" w:color="auto" w:fill="FFFFFF"/>
        </w:rPr>
      </w:pPr>
    </w:p>
    <w:p w14:paraId="2DD3843C" w14:textId="77777777" w:rsidR="0000132E" w:rsidRDefault="18ABC621" w:rsidP="002D102B">
      <w:pPr>
        <w:pStyle w:val="Nadpis3"/>
        <w:rPr>
          <w:rStyle w:val="normaltextrun"/>
          <w:b w:val="0"/>
          <w:bCs/>
          <w:color w:val="FF5200"/>
          <w:shd w:val="clear" w:color="auto" w:fill="FFFFFF"/>
        </w:rPr>
      </w:pPr>
      <w:r w:rsidRPr="005F687C">
        <w:rPr>
          <w:rStyle w:val="normaltextrun"/>
          <w:bCs/>
          <w:color w:val="FF5200"/>
          <w:shd w:val="clear" w:color="auto" w:fill="FFFFFF"/>
        </w:rPr>
        <w:t>Cíl</w:t>
      </w:r>
    </w:p>
    <w:p w14:paraId="7A36868A" w14:textId="23949C07" w:rsidR="002E2C89" w:rsidRDefault="002E2C89" w:rsidP="002E2C89">
      <w:pPr>
        <w:spacing w:after="0"/>
        <w:jc w:val="both"/>
        <w:rPr>
          <w:rFonts w:eastAsia="Calibri" w:cs="Tahoma"/>
        </w:rPr>
      </w:pPr>
    </w:p>
    <w:p w14:paraId="4A9A56D1" w14:textId="509C9112" w:rsidR="002E2C89" w:rsidRPr="009C2CE9" w:rsidRDefault="00697C91" w:rsidP="002E2C89">
      <w:pPr>
        <w:spacing w:after="0"/>
        <w:jc w:val="both"/>
        <w:rPr>
          <w:rFonts w:eastAsia="Calibri" w:cs="Tahoma"/>
          <w:sz w:val="20"/>
          <w:szCs w:val="20"/>
        </w:rPr>
      </w:pPr>
      <w:r w:rsidRPr="009C2CE9">
        <w:rPr>
          <w:rFonts w:eastAsia="Calibri" w:cs="Tahoma"/>
          <w:sz w:val="20"/>
          <w:szCs w:val="20"/>
        </w:rPr>
        <w:t xml:space="preserve">Ve společnosti Správa železnic je implementován modul </w:t>
      </w:r>
      <w:r w:rsidR="00570D5F">
        <w:rPr>
          <w:rFonts w:eastAsia="Calibri" w:cs="Tahoma"/>
          <w:sz w:val="20"/>
          <w:szCs w:val="20"/>
        </w:rPr>
        <w:t>SAP RE-FX</w:t>
      </w:r>
      <w:r w:rsidRPr="009C2CE9">
        <w:rPr>
          <w:rFonts w:eastAsia="Calibri" w:cs="Tahoma"/>
          <w:sz w:val="20"/>
          <w:szCs w:val="20"/>
        </w:rPr>
        <w:t xml:space="preserve">, ve kterém </w:t>
      </w:r>
      <w:r w:rsidR="00F96D04">
        <w:rPr>
          <w:rFonts w:eastAsia="Calibri" w:cs="Tahoma"/>
          <w:sz w:val="20"/>
          <w:szCs w:val="20"/>
        </w:rPr>
        <w:t xml:space="preserve">požadujeme </w:t>
      </w:r>
      <w:r w:rsidRPr="009C2CE9">
        <w:rPr>
          <w:rFonts w:eastAsia="Calibri" w:cs="Tahoma"/>
          <w:sz w:val="20"/>
          <w:szCs w:val="20"/>
        </w:rPr>
        <w:t>zrealizo</w:t>
      </w:r>
      <w:r w:rsidR="00F96D04">
        <w:rPr>
          <w:rFonts w:eastAsia="Calibri" w:cs="Tahoma"/>
          <w:sz w:val="20"/>
          <w:szCs w:val="20"/>
        </w:rPr>
        <w:t xml:space="preserve">vat následující </w:t>
      </w:r>
      <w:r w:rsidRPr="009C2CE9">
        <w:rPr>
          <w:rFonts w:eastAsia="Calibri" w:cs="Tahoma"/>
          <w:sz w:val="20"/>
          <w:szCs w:val="20"/>
        </w:rPr>
        <w:t xml:space="preserve">rozvoj. Požadavky jsou rozděleny </w:t>
      </w:r>
      <w:r w:rsidR="00ED7BB3">
        <w:rPr>
          <w:rFonts w:eastAsia="Calibri" w:cs="Tahoma"/>
          <w:sz w:val="20"/>
          <w:szCs w:val="20"/>
        </w:rPr>
        <w:br/>
      </w:r>
      <w:r w:rsidRPr="009C2CE9">
        <w:rPr>
          <w:rFonts w:eastAsia="Calibri" w:cs="Tahoma"/>
          <w:sz w:val="20"/>
          <w:szCs w:val="20"/>
        </w:rPr>
        <w:t xml:space="preserve">do jednotlivých bodů. </w:t>
      </w:r>
    </w:p>
    <w:p w14:paraId="0C8551BB" w14:textId="77777777" w:rsidR="00282320" w:rsidRDefault="004F7792" w:rsidP="002D102B">
      <w:pPr>
        <w:pStyle w:val="Nadpis3"/>
        <w:rPr>
          <w:rStyle w:val="normaltextrun"/>
          <w:bCs/>
          <w:color w:val="FF5200"/>
          <w:bdr w:val="none" w:sz="0" w:space="0" w:color="auto" w:frame="1"/>
        </w:rPr>
      </w:pPr>
      <w:r>
        <w:rPr>
          <w:rStyle w:val="normaltextrun"/>
          <w:bCs/>
          <w:color w:val="FF5200"/>
          <w:bdr w:val="none" w:sz="0" w:space="0" w:color="auto" w:frame="1"/>
        </w:rPr>
        <w:t>P</w:t>
      </w:r>
      <w:r w:rsidR="0000132E" w:rsidRPr="005F687C">
        <w:rPr>
          <w:rStyle w:val="normaltextrun"/>
          <w:bCs/>
          <w:color w:val="FF5200"/>
          <w:bdr w:val="none" w:sz="0" w:space="0" w:color="auto" w:frame="1"/>
        </w:rPr>
        <w:t>ožadavky na řešení</w:t>
      </w:r>
    </w:p>
    <w:p w14:paraId="280CE0BE" w14:textId="7991BAC2" w:rsidR="00AE6A5D" w:rsidRDefault="00AE6A5D" w:rsidP="00AE6A5D">
      <w:pPr>
        <w:pStyle w:val="Odstavecseseznamem"/>
        <w:spacing w:after="0" w:line="240" w:lineRule="auto"/>
      </w:pPr>
    </w:p>
    <w:p w14:paraId="2F505C0F" w14:textId="7714261B" w:rsidR="00652B15" w:rsidRPr="00652B15" w:rsidRDefault="00652B15" w:rsidP="48B0091B">
      <w:pPr>
        <w:spacing w:after="0" w:line="240" w:lineRule="auto"/>
      </w:pPr>
    </w:p>
    <w:p w14:paraId="3363AF74" w14:textId="0D121A07" w:rsidR="00697C91" w:rsidRPr="009C2CE9" w:rsidRDefault="6B14817A" w:rsidP="48B0091B">
      <w:pPr>
        <w:pStyle w:val="Nadpis1"/>
        <w:rPr>
          <w:sz w:val="32"/>
          <w:szCs w:val="32"/>
        </w:rPr>
      </w:pPr>
      <w:r w:rsidRPr="0FFB23C9">
        <w:rPr>
          <w:sz w:val="32"/>
          <w:szCs w:val="32"/>
        </w:rPr>
        <w:t xml:space="preserve">1) </w:t>
      </w:r>
      <w:r w:rsidR="032B7977" w:rsidRPr="0FFB23C9">
        <w:rPr>
          <w:sz w:val="32"/>
          <w:szCs w:val="32"/>
        </w:rPr>
        <w:t>Nastavení generování podmínky pro obratové nájemné</w:t>
      </w:r>
    </w:p>
    <w:p w14:paraId="44A767F8" w14:textId="3195AEC6" w:rsidR="00697C91" w:rsidRPr="009C2CE9" w:rsidRDefault="032B7977" w:rsidP="48B0091B">
      <w:pPr>
        <w:pStyle w:val="Nadpis2"/>
        <w:spacing w:before="200" w:line="276" w:lineRule="auto"/>
        <w:jc w:val="both"/>
      </w:pPr>
      <w:r w:rsidRPr="48B0091B">
        <w:rPr>
          <w:rFonts w:ascii="Verdana" w:eastAsia="Verdana" w:hAnsi="Verdana" w:cs="Verdana"/>
          <w:bCs/>
          <w:color w:val="4F81BD"/>
          <w:sz w:val="26"/>
          <w:szCs w:val="26"/>
        </w:rPr>
        <w:t>Současný stav</w:t>
      </w:r>
    </w:p>
    <w:p w14:paraId="601E63D3" w14:textId="43F92F05" w:rsidR="00697C91" w:rsidRPr="009C2CE9" w:rsidRDefault="032B7977" w:rsidP="48B0091B">
      <w:pPr>
        <w:spacing w:after="200" w:line="276" w:lineRule="auto"/>
        <w:jc w:val="both"/>
      </w:pPr>
      <w:r w:rsidRPr="48B0091B">
        <w:rPr>
          <w:rFonts w:ascii="Verdana" w:eastAsia="Verdana" w:hAnsi="Verdana" w:cs="Verdana"/>
          <w:sz w:val="20"/>
          <w:szCs w:val="20"/>
        </w:rPr>
        <w:t xml:space="preserve">Funkce „Relevantní pro obrat“ se nyní u nájemních smluv uplatňuje pouze v omezeném rozsahu. Pro smlouvy, které jsou relevantní pro obrat je statisticky evidována podmínka 299 - Obratové nájemné s daným předpisem výpočtu. Je evidováno pravidlo obratu s přiřazením podmínky a rytmu. Pravidlo hlášení obratu je vedeno pouze statisticky, obrat je zde evidován. </w:t>
      </w:r>
    </w:p>
    <w:p w14:paraId="64FCAA19" w14:textId="2129A8A3" w:rsidR="00697C91" w:rsidRPr="009C2CE9" w:rsidRDefault="032B7977" w:rsidP="48B0091B">
      <w:pPr>
        <w:spacing w:after="200" w:line="276" w:lineRule="auto"/>
        <w:jc w:val="both"/>
      </w:pPr>
      <w:r w:rsidRPr="48B0091B">
        <w:rPr>
          <w:rFonts w:ascii="Verdana" w:eastAsia="Verdana" w:hAnsi="Verdana" w:cs="Verdana"/>
          <w:sz w:val="20"/>
          <w:szCs w:val="20"/>
        </w:rPr>
        <w:t>Zúčtování nájemného z obratu pomocí transakce RESRSE je v současném systému spouštěno jen v režimu Simulace a používá se pro zjištění výše nájemného z obratu.</w:t>
      </w:r>
    </w:p>
    <w:p w14:paraId="6DF0A3F9" w14:textId="43E8DC07" w:rsidR="00697C91" w:rsidRPr="009C2CE9" w:rsidRDefault="032B7977" w:rsidP="48B0091B">
      <w:pPr>
        <w:spacing w:after="200" w:line="276" w:lineRule="auto"/>
        <w:jc w:val="both"/>
      </w:pPr>
      <w:r w:rsidRPr="48B0091B">
        <w:rPr>
          <w:rFonts w:ascii="Verdana" w:eastAsia="Verdana" w:hAnsi="Verdana" w:cs="Verdana"/>
          <w:sz w:val="20"/>
          <w:szCs w:val="20"/>
        </w:rPr>
        <w:t>Samotný výpočet doplatku nájemného je prováděn mimo systém Sap a pro účely vystavení faktury na nájemné z obratu je nyní ve smlouvách vytvářena samostatná podmínka Zvýšení nájemného.</w:t>
      </w:r>
    </w:p>
    <w:p w14:paraId="6549B0A3" w14:textId="5322A6B3" w:rsidR="00697C91" w:rsidRPr="009C2CE9" w:rsidRDefault="032B7977" w:rsidP="48B0091B">
      <w:pPr>
        <w:pStyle w:val="Nadpis2"/>
        <w:spacing w:before="200" w:line="276" w:lineRule="auto"/>
        <w:jc w:val="both"/>
      </w:pPr>
      <w:r w:rsidRPr="48B0091B">
        <w:rPr>
          <w:rFonts w:ascii="Verdana" w:eastAsia="Verdana" w:hAnsi="Verdana" w:cs="Verdana"/>
          <w:bCs/>
          <w:color w:val="4F81BD"/>
          <w:sz w:val="26"/>
          <w:szCs w:val="26"/>
        </w:rPr>
        <w:t>Požadavek</w:t>
      </w:r>
    </w:p>
    <w:p w14:paraId="32DB4711" w14:textId="7C965E9B" w:rsidR="00697C91" w:rsidRPr="009C2CE9" w:rsidRDefault="032B7977" w:rsidP="48B0091B">
      <w:pPr>
        <w:spacing w:after="200" w:line="276" w:lineRule="auto"/>
        <w:jc w:val="both"/>
      </w:pPr>
      <w:r w:rsidRPr="48B0091B">
        <w:rPr>
          <w:rFonts w:ascii="Verdana" w:eastAsia="Verdana" w:hAnsi="Verdana" w:cs="Verdana"/>
          <w:sz w:val="20"/>
          <w:szCs w:val="20"/>
        </w:rPr>
        <w:t>Nastavit možnost využití standardního procesu účtování nájemného z obratu.</w:t>
      </w:r>
    </w:p>
    <w:p w14:paraId="59444724" w14:textId="74BE0E52" w:rsidR="00697C91" w:rsidRPr="009C2CE9" w:rsidRDefault="032B7977" w:rsidP="48B0091B">
      <w:pPr>
        <w:spacing w:after="200" w:line="276" w:lineRule="auto"/>
        <w:jc w:val="both"/>
      </w:pPr>
      <w:r w:rsidRPr="48B0091B">
        <w:rPr>
          <w:rFonts w:ascii="Verdana" w:eastAsia="Verdana" w:hAnsi="Verdana" w:cs="Verdana"/>
          <w:sz w:val="20"/>
          <w:szCs w:val="20"/>
        </w:rPr>
        <w:t>V nájemních smlouvách bylo zjištěno několik pravidel pro určení poplatku z obratu – Poplatek z obratu je stanoven jako % z měsíčního obratu nájemce:</w:t>
      </w:r>
    </w:p>
    <w:p w14:paraId="0EFC83E8" w14:textId="369D002B" w:rsidR="00697C91" w:rsidRPr="009C2CE9" w:rsidRDefault="032B7977" w:rsidP="0050364B">
      <w:pPr>
        <w:pStyle w:val="Odstavecseseznamem"/>
        <w:numPr>
          <w:ilvl w:val="0"/>
          <w:numId w:val="5"/>
        </w:numPr>
        <w:spacing w:after="0" w:line="257" w:lineRule="auto"/>
        <w:jc w:val="both"/>
        <w:rPr>
          <w:rFonts w:ascii="Verdana" w:eastAsia="Verdana" w:hAnsi="Verdana" w:cs="Verdana"/>
          <w:sz w:val="20"/>
          <w:szCs w:val="20"/>
        </w:rPr>
      </w:pPr>
      <w:r w:rsidRPr="48B0091B">
        <w:rPr>
          <w:rFonts w:ascii="Verdana" w:eastAsia="Verdana" w:hAnsi="Verdana" w:cs="Verdana"/>
          <w:sz w:val="20"/>
          <w:szCs w:val="20"/>
        </w:rPr>
        <w:t>Pokud je vypočtená částku poplatku z obratu vyšší než výše poměrné měsíční částky ze základního nájemného uvedeného ve smlouvě, je nájemce povinen zaplatit rozdíl částek do 31.března daného roku nebo do tří měsíců od skončení této smlouvy. V případě, že je vypočtená částka nižší, nájemné se o rozdíl nesnižuje.</w:t>
      </w:r>
    </w:p>
    <w:p w14:paraId="637B955F" w14:textId="64715DEB" w:rsidR="00697C91" w:rsidRPr="009C2CE9" w:rsidRDefault="032B7977" w:rsidP="0050364B">
      <w:pPr>
        <w:pStyle w:val="Odstavecseseznamem"/>
        <w:numPr>
          <w:ilvl w:val="0"/>
          <w:numId w:val="5"/>
        </w:numPr>
        <w:spacing w:after="0" w:line="257" w:lineRule="auto"/>
        <w:ind w:hanging="357"/>
        <w:jc w:val="both"/>
        <w:rPr>
          <w:rFonts w:ascii="Verdana" w:eastAsia="Verdana" w:hAnsi="Verdana" w:cs="Verdana"/>
          <w:sz w:val="20"/>
          <w:szCs w:val="20"/>
        </w:rPr>
      </w:pPr>
      <w:r w:rsidRPr="48B0091B">
        <w:rPr>
          <w:rFonts w:ascii="Verdana" w:eastAsia="Verdana" w:hAnsi="Verdana" w:cs="Verdana"/>
          <w:sz w:val="20"/>
          <w:szCs w:val="20"/>
        </w:rPr>
        <w:lastRenderedPageBreak/>
        <w:t xml:space="preserve">Pokud je poplatek (%) z měsíčního obratu potvrzeného auditorem vyšší než poměrná měsíční částka ze základního nájemného – nájemce musí doplatit rozdíl </w:t>
      </w:r>
    </w:p>
    <w:p w14:paraId="2B15ADFB" w14:textId="3432C5D6" w:rsidR="00697C91" w:rsidRPr="009C2CE9" w:rsidRDefault="032B7977" w:rsidP="0050364B">
      <w:pPr>
        <w:pStyle w:val="Odstavecseseznamem"/>
        <w:numPr>
          <w:ilvl w:val="0"/>
          <w:numId w:val="5"/>
        </w:numPr>
        <w:spacing w:after="0" w:line="257" w:lineRule="auto"/>
        <w:ind w:hanging="357"/>
        <w:jc w:val="both"/>
        <w:rPr>
          <w:rFonts w:ascii="Verdana" w:eastAsia="Verdana" w:hAnsi="Verdana" w:cs="Verdana"/>
          <w:sz w:val="20"/>
          <w:szCs w:val="20"/>
        </w:rPr>
      </w:pPr>
      <w:r w:rsidRPr="48B0091B">
        <w:rPr>
          <w:rFonts w:ascii="Verdana" w:eastAsia="Verdana" w:hAnsi="Verdana" w:cs="Verdana"/>
          <w:sz w:val="20"/>
          <w:szCs w:val="20"/>
        </w:rPr>
        <w:t xml:space="preserve">Pokud je poplatek (%) z měsíčního obratu je vyšší než poměrná měsíční částka ze základního nájemného – dochází k navyšování nájemného. Zvyšování o celou výši poplatku -&gt; zde pouze výpočet v rámci RESRSE, ale zvýšení základního nájemného je nutné manuálně, není možné napojit na účtování o nájemném z obratu </w:t>
      </w:r>
    </w:p>
    <w:p w14:paraId="6D3BD2A9" w14:textId="153B85BC" w:rsidR="00697C91" w:rsidRPr="009C2CE9" w:rsidRDefault="032B7977" w:rsidP="48B0091B">
      <w:pPr>
        <w:spacing w:after="200" w:line="276" w:lineRule="auto"/>
        <w:jc w:val="both"/>
      </w:pPr>
      <w:r w:rsidRPr="48B0091B">
        <w:rPr>
          <w:rFonts w:ascii="Verdana" w:eastAsia="Verdana" w:hAnsi="Verdana" w:cs="Verdana"/>
          <w:sz w:val="20"/>
          <w:szCs w:val="20"/>
        </w:rPr>
        <w:t>Předpoklady využití účtování vypočteného obratového nájemného:</w:t>
      </w:r>
    </w:p>
    <w:p w14:paraId="72E54855" w14:textId="15494403" w:rsidR="00697C91" w:rsidRPr="009C2CE9" w:rsidRDefault="032B7977" w:rsidP="0050364B">
      <w:pPr>
        <w:pStyle w:val="Odstavecseseznamem"/>
        <w:numPr>
          <w:ilvl w:val="0"/>
          <w:numId w:val="5"/>
        </w:numPr>
        <w:spacing w:after="0" w:line="257" w:lineRule="auto"/>
        <w:ind w:hanging="357"/>
        <w:jc w:val="both"/>
        <w:rPr>
          <w:rFonts w:ascii="Verdana" w:eastAsia="Verdana" w:hAnsi="Verdana" w:cs="Verdana"/>
          <w:sz w:val="20"/>
          <w:szCs w:val="20"/>
        </w:rPr>
      </w:pPr>
      <w:r w:rsidRPr="48B0091B">
        <w:rPr>
          <w:rFonts w:ascii="Verdana" w:eastAsia="Verdana" w:hAnsi="Verdana" w:cs="Verdana"/>
          <w:sz w:val="20"/>
          <w:szCs w:val="20"/>
        </w:rPr>
        <w:t>podmínka 299 „Obratové nájemné“, musí mít účel „Účtované nájemné“, bude mít také odlišný rytmus,</w:t>
      </w:r>
    </w:p>
    <w:p w14:paraId="61801225" w14:textId="1E15D2B0" w:rsidR="00697C91" w:rsidRPr="009C2CE9" w:rsidRDefault="032B7977" w:rsidP="0050364B">
      <w:pPr>
        <w:pStyle w:val="Odstavecseseznamem"/>
        <w:numPr>
          <w:ilvl w:val="0"/>
          <w:numId w:val="5"/>
        </w:numPr>
        <w:spacing w:after="0" w:line="257" w:lineRule="auto"/>
        <w:ind w:hanging="357"/>
        <w:jc w:val="both"/>
        <w:rPr>
          <w:rFonts w:ascii="Verdana" w:eastAsia="Verdana" w:hAnsi="Verdana" w:cs="Verdana"/>
          <w:sz w:val="20"/>
          <w:szCs w:val="20"/>
        </w:rPr>
      </w:pPr>
      <w:r w:rsidRPr="48B0091B">
        <w:rPr>
          <w:rFonts w:ascii="Verdana" w:eastAsia="Verdana" w:hAnsi="Verdana" w:cs="Verdana"/>
          <w:sz w:val="20"/>
          <w:szCs w:val="20"/>
        </w:rPr>
        <w:t>podmínky základního nájemného budou mít vlastnost „Minimální nájemné“ - u smluv, které nejsou relevantní pro obrat nebude mít tato vlastnost žádný dopad, pro smlouvy pro obrat relevantní určuje tato vlastnost, že dané nájemné je zohledněno v rámci procesu ZNO,</w:t>
      </w:r>
    </w:p>
    <w:p w14:paraId="3C7870F1" w14:textId="78F43A22" w:rsidR="00697C91" w:rsidRPr="009C2CE9" w:rsidRDefault="032B7977" w:rsidP="0050364B">
      <w:pPr>
        <w:pStyle w:val="Odstavecseseznamem"/>
        <w:numPr>
          <w:ilvl w:val="0"/>
          <w:numId w:val="5"/>
        </w:numPr>
        <w:spacing w:after="0" w:line="257" w:lineRule="auto"/>
        <w:ind w:hanging="357"/>
        <w:jc w:val="both"/>
        <w:rPr>
          <w:rFonts w:ascii="Verdana" w:eastAsia="Verdana" w:hAnsi="Verdana" w:cs="Verdana"/>
          <w:sz w:val="20"/>
          <w:szCs w:val="20"/>
        </w:rPr>
      </w:pPr>
      <w:r w:rsidRPr="48B0091B">
        <w:rPr>
          <w:rFonts w:ascii="Verdana" w:eastAsia="Verdana" w:hAnsi="Verdana" w:cs="Verdana"/>
          <w:sz w:val="20"/>
          <w:szCs w:val="20"/>
        </w:rPr>
        <w:t>podmínka „Záloha na nájemné z obratu“ nebude využívána,</w:t>
      </w:r>
    </w:p>
    <w:p w14:paraId="0A8827B3" w14:textId="236D844B" w:rsidR="00697C91" w:rsidRPr="009C2CE9" w:rsidRDefault="032B7977" w:rsidP="0050364B">
      <w:pPr>
        <w:pStyle w:val="Odstavecseseznamem"/>
        <w:numPr>
          <w:ilvl w:val="0"/>
          <w:numId w:val="5"/>
        </w:numPr>
        <w:spacing w:after="0" w:line="257" w:lineRule="auto"/>
        <w:ind w:hanging="357"/>
        <w:jc w:val="both"/>
        <w:rPr>
          <w:rFonts w:ascii="Verdana" w:eastAsia="Verdana" w:hAnsi="Verdana" w:cs="Verdana"/>
          <w:sz w:val="20"/>
          <w:szCs w:val="20"/>
        </w:rPr>
      </w:pPr>
      <w:r w:rsidRPr="48B0091B">
        <w:rPr>
          <w:rFonts w:ascii="Verdana" w:eastAsia="Verdana" w:hAnsi="Verdana" w:cs="Verdana"/>
          <w:sz w:val="20"/>
          <w:szCs w:val="20"/>
        </w:rPr>
        <w:t>pravidlo hlášení nebude statistické,</w:t>
      </w:r>
    </w:p>
    <w:p w14:paraId="58C935CF" w14:textId="1089CAF6" w:rsidR="00697C91" w:rsidRPr="009C2CE9" w:rsidRDefault="032B7977" w:rsidP="0050364B">
      <w:pPr>
        <w:pStyle w:val="Odstavecseseznamem"/>
        <w:numPr>
          <w:ilvl w:val="0"/>
          <w:numId w:val="5"/>
        </w:numPr>
        <w:spacing w:after="0" w:line="257" w:lineRule="auto"/>
        <w:ind w:hanging="357"/>
        <w:jc w:val="both"/>
        <w:rPr>
          <w:rFonts w:ascii="Verdana" w:eastAsia="Verdana" w:hAnsi="Verdana" w:cs="Verdana"/>
          <w:sz w:val="20"/>
          <w:szCs w:val="20"/>
        </w:rPr>
      </w:pPr>
      <w:r w:rsidRPr="48B0091B">
        <w:rPr>
          <w:rFonts w:ascii="Verdana" w:eastAsia="Verdana" w:hAnsi="Verdana" w:cs="Verdana"/>
          <w:sz w:val="20"/>
          <w:szCs w:val="20"/>
        </w:rPr>
        <w:t>bude vždy označena volba „</w:t>
      </w:r>
      <w:proofErr w:type="spellStart"/>
      <w:r w:rsidRPr="48B0091B">
        <w:rPr>
          <w:rFonts w:ascii="Verdana" w:eastAsia="Verdana" w:hAnsi="Verdana" w:cs="Verdana"/>
          <w:sz w:val="20"/>
          <w:szCs w:val="20"/>
        </w:rPr>
        <w:t>Účtov.fin.toku</w:t>
      </w:r>
      <w:proofErr w:type="spellEnd"/>
      <w:r w:rsidRPr="48B0091B">
        <w:rPr>
          <w:rFonts w:ascii="Verdana" w:eastAsia="Verdana" w:hAnsi="Verdana" w:cs="Verdana"/>
          <w:sz w:val="20"/>
          <w:szCs w:val="20"/>
        </w:rPr>
        <w:t>“, aby se vypočtená podmínka obratového nájemného dostala do finančního toku partnera,</w:t>
      </w:r>
    </w:p>
    <w:p w14:paraId="11C44575" w14:textId="56822475" w:rsidR="00697C91" w:rsidRPr="009C2CE9" w:rsidRDefault="032B7977" w:rsidP="0050364B">
      <w:pPr>
        <w:pStyle w:val="Odstavecseseznamem"/>
        <w:numPr>
          <w:ilvl w:val="0"/>
          <w:numId w:val="5"/>
        </w:numPr>
        <w:spacing w:after="0" w:line="257" w:lineRule="auto"/>
        <w:ind w:hanging="357"/>
        <w:jc w:val="both"/>
        <w:rPr>
          <w:rFonts w:ascii="Verdana" w:eastAsia="Verdana" w:hAnsi="Verdana" w:cs="Verdana"/>
          <w:sz w:val="20"/>
          <w:szCs w:val="20"/>
        </w:rPr>
      </w:pPr>
      <w:r w:rsidRPr="48B0091B">
        <w:rPr>
          <w:rFonts w:ascii="Verdana" w:eastAsia="Verdana" w:hAnsi="Verdana" w:cs="Verdana"/>
          <w:sz w:val="20"/>
          <w:szCs w:val="20"/>
        </w:rPr>
        <w:t xml:space="preserve">pro auditovaný obrat bude využita možnost „Testovaný obrat“ v pravidle hlášení – bude zadávána i hodnota obratu potvrzená auditorem, </w:t>
      </w:r>
    </w:p>
    <w:p w14:paraId="4F144B01" w14:textId="410E802E" w:rsidR="00697C91" w:rsidRPr="009C2CE9" w:rsidRDefault="032B7977" w:rsidP="48B0091B">
      <w:pPr>
        <w:spacing w:after="200" w:line="276" w:lineRule="auto"/>
        <w:jc w:val="both"/>
      </w:pPr>
      <w:r w:rsidRPr="48B0091B">
        <w:rPr>
          <w:rFonts w:ascii="Verdana" w:eastAsia="Verdana" w:hAnsi="Verdana" w:cs="Verdana"/>
          <w:sz w:val="20"/>
          <w:szCs w:val="20"/>
        </w:rPr>
        <w:t xml:space="preserve">Proces </w:t>
      </w:r>
      <w:r w:rsidR="224AD58B" w:rsidRPr="48B0091B">
        <w:rPr>
          <w:rFonts w:ascii="Verdana" w:eastAsia="Verdana" w:hAnsi="Verdana" w:cs="Verdana"/>
          <w:sz w:val="20"/>
          <w:szCs w:val="20"/>
        </w:rPr>
        <w:t>zúčtování</w:t>
      </w:r>
      <w:r w:rsidRPr="48B0091B">
        <w:rPr>
          <w:rFonts w:ascii="Verdana" w:eastAsia="Verdana" w:hAnsi="Verdana" w:cs="Verdana"/>
          <w:sz w:val="20"/>
          <w:szCs w:val="20"/>
        </w:rPr>
        <w:t xml:space="preserve"> pak bude probíhat běžně pomocí transakce RESRSE, vč. reálného zaúčtování. Systém vypočítá výši nájemného o obratu a zahrne do ní základní nájemné s vlastností „Minimální nájemné“ takto:</w:t>
      </w:r>
    </w:p>
    <w:p w14:paraId="0596B6B3" w14:textId="1ED0264E" w:rsidR="00697C91" w:rsidRPr="009C2CE9" w:rsidRDefault="032B7977" w:rsidP="0050364B">
      <w:pPr>
        <w:pStyle w:val="Odstavecseseznamem"/>
        <w:numPr>
          <w:ilvl w:val="0"/>
          <w:numId w:val="5"/>
        </w:numPr>
        <w:spacing w:after="0" w:line="257" w:lineRule="auto"/>
        <w:ind w:hanging="357"/>
        <w:jc w:val="both"/>
        <w:rPr>
          <w:rFonts w:ascii="Verdana" w:eastAsia="Verdana" w:hAnsi="Verdana" w:cs="Verdana"/>
          <w:sz w:val="20"/>
          <w:szCs w:val="20"/>
        </w:rPr>
      </w:pPr>
      <w:r w:rsidRPr="48B0091B">
        <w:rPr>
          <w:rFonts w:ascii="Verdana" w:eastAsia="Verdana" w:hAnsi="Verdana" w:cs="Verdana"/>
          <w:sz w:val="20"/>
          <w:szCs w:val="20"/>
        </w:rPr>
        <w:t>pokud je vypočtené nájemné z obratu vyšší než minimální nájemné, systém dopočítá rozdíl a zahrne do podmínky 299 a do finančního toku pro zaúčtování,</w:t>
      </w:r>
    </w:p>
    <w:p w14:paraId="6970B34D" w14:textId="0D0F5DDF" w:rsidR="00697C91" w:rsidRPr="009C2CE9" w:rsidRDefault="032B7977" w:rsidP="0050364B">
      <w:pPr>
        <w:pStyle w:val="Odstavecseseznamem"/>
        <w:numPr>
          <w:ilvl w:val="0"/>
          <w:numId w:val="5"/>
        </w:numPr>
        <w:spacing w:after="0" w:line="257" w:lineRule="auto"/>
        <w:ind w:hanging="357"/>
        <w:jc w:val="both"/>
        <w:rPr>
          <w:rFonts w:ascii="Verdana" w:eastAsia="Verdana" w:hAnsi="Verdana" w:cs="Verdana"/>
          <w:sz w:val="20"/>
          <w:szCs w:val="20"/>
        </w:rPr>
      </w:pPr>
      <w:r w:rsidRPr="48B0091B">
        <w:rPr>
          <w:rFonts w:ascii="Verdana" w:eastAsia="Verdana" w:hAnsi="Verdana" w:cs="Verdana"/>
          <w:sz w:val="20"/>
          <w:szCs w:val="20"/>
        </w:rPr>
        <w:t xml:space="preserve">pokud je vypočtené nájemné z obratu nižší než minimální nájemné, nebude nic </w:t>
      </w:r>
      <w:proofErr w:type="spellStart"/>
      <w:r w:rsidRPr="48B0091B">
        <w:rPr>
          <w:rFonts w:ascii="Verdana" w:eastAsia="Verdana" w:hAnsi="Verdana" w:cs="Verdana"/>
          <w:sz w:val="20"/>
          <w:szCs w:val="20"/>
        </w:rPr>
        <w:t>doúčtovávat</w:t>
      </w:r>
      <w:proofErr w:type="spellEnd"/>
      <w:r w:rsidRPr="48B0091B">
        <w:rPr>
          <w:rFonts w:ascii="Verdana" w:eastAsia="Verdana" w:hAnsi="Verdana" w:cs="Verdana"/>
          <w:sz w:val="20"/>
          <w:szCs w:val="20"/>
        </w:rPr>
        <w:t>.</w:t>
      </w:r>
    </w:p>
    <w:p w14:paraId="3330267E" w14:textId="52404483" w:rsidR="00697C91" w:rsidRPr="009C2CE9" w:rsidRDefault="032B7977" w:rsidP="48B0091B">
      <w:pPr>
        <w:spacing w:after="200" w:line="276" w:lineRule="auto"/>
        <w:jc w:val="both"/>
      </w:pPr>
      <w:r w:rsidRPr="48B0091B">
        <w:rPr>
          <w:rFonts w:ascii="Verdana" w:eastAsia="Verdana" w:hAnsi="Verdana" w:cs="Verdana"/>
          <w:sz w:val="20"/>
          <w:szCs w:val="20"/>
        </w:rPr>
        <w:t>V tomto případě bude použitý druh zúčtování „Standardní zúčtování“. V případě, že dojde ke korekci auditorem a bude zadán testovaný obrat, bude nutné následně provést „Konečné zúčtování“</w:t>
      </w:r>
    </w:p>
    <w:p w14:paraId="5493B97E" w14:textId="28411479" w:rsidR="00697C91" w:rsidRPr="009C2CE9" w:rsidRDefault="032B7977" w:rsidP="48B0091B">
      <w:pPr>
        <w:spacing w:after="200" w:line="276" w:lineRule="auto"/>
        <w:jc w:val="both"/>
      </w:pPr>
      <w:r w:rsidRPr="48B0091B">
        <w:rPr>
          <w:rFonts w:ascii="Verdana" w:eastAsia="Verdana" w:hAnsi="Verdana" w:cs="Verdana"/>
          <w:sz w:val="20"/>
          <w:szCs w:val="20"/>
        </w:rPr>
        <w:t>Vypočtená podmínka nájemného z obratu zahrnutá do finančního toku partnera bude také zahrnuta do periodického účtování, transakce RERAPP. Protože je nutné fakturovat tyto podmínky samostatně, s jiným DUZP, než má ostatní účtování bude využit výběr přes druh podmínky.</w:t>
      </w:r>
    </w:p>
    <w:p w14:paraId="4F7A27B2" w14:textId="139C4D71" w:rsidR="00697C91" w:rsidRPr="009C2CE9" w:rsidRDefault="032B7977" w:rsidP="48B0091B">
      <w:pPr>
        <w:pStyle w:val="Nadpis1"/>
        <w:rPr>
          <w:sz w:val="32"/>
          <w:szCs w:val="32"/>
        </w:rPr>
      </w:pPr>
      <w:r w:rsidRPr="0FFB23C9">
        <w:rPr>
          <w:sz w:val="32"/>
          <w:szCs w:val="32"/>
        </w:rPr>
        <w:t xml:space="preserve"> 2) Nastavení smlouvy o kauci (jistotě) k nájemním </w:t>
      </w:r>
      <w:r w:rsidR="00A66035" w:rsidRPr="0FFB23C9">
        <w:rPr>
          <w:sz w:val="32"/>
          <w:szCs w:val="32"/>
        </w:rPr>
        <w:t>smlouvám – požadavek</w:t>
      </w:r>
      <w:r w:rsidRPr="0FFB23C9">
        <w:rPr>
          <w:sz w:val="32"/>
          <w:szCs w:val="32"/>
        </w:rPr>
        <w:t xml:space="preserve"> na kauci, příjem kauce, čerpání kauce a vratka kauce. </w:t>
      </w:r>
    </w:p>
    <w:p w14:paraId="4DE2CEFC" w14:textId="134AB4BF" w:rsidR="00697C91" w:rsidRPr="009C2CE9" w:rsidRDefault="032B7977" w:rsidP="48B0091B">
      <w:pPr>
        <w:pStyle w:val="Nadpis2"/>
        <w:spacing w:before="200" w:line="276" w:lineRule="auto"/>
        <w:jc w:val="both"/>
      </w:pPr>
      <w:r w:rsidRPr="48B0091B">
        <w:rPr>
          <w:rFonts w:ascii="Verdana" w:eastAsia="Verdana" w:hAnsi="Verdana" w:cs="Verdana"/>
          <w:bCs/>
          <w:color w:val="4F81BD"/>
          <w:sz w:val="26"/>
          <w:szCs w:val="26"/>
        </w:rPr>
        <w:t>Současný stav</w:t>
      </w:r>
    </w:p>
    <w:p w14:paraId="1DE832E0" w14:textId="42A4D45B" w:rsidR="00697C91" w:rsidRPr="009C2CE9" w:rsidRDefault="032B7977" w:rsidP="48B0091B">
      <w:pPr>
        <w:spacing w:after="200" w:line="276" w:lineRule="auto"/>
        <w:jc w:val="both"/>
      </w:pPr>
      <w:r w:rsidRPr="48B0091B">
        <w:rPr>
          <w:rFonts w:ascii="Verdana" w:eastAsia="Verdana" w:hAnsi="Verdana" w:cs="Verdana"/>
          <w:sz w:val="20"/>
          <w:szCs w:val="20"/>
        </w:rPr>
        <w:t>Aktuálně není dohoda o kauci využívána, kauce je účtována pouze v FI, správce smlouvy dává pokyn účetní k zaúčtování kauce, jejímu čerpání a doplnění. Není zde vazba na smlouvu, takže evidence je nepřehledná.</w:t>
      </w:r>
    </w:p>
    <w:p w14:paraId="775F31B5" w14:textId="0CF1220D" w:rsidR="00697C91" w:rsidRPr="009C2CE9" w:rsidRDefault="032B7977" w:rsidP="48B0091B">
      <w:pPr>
        <w:spacing w:after="200" w:line="276" w:lineRule="auto"/>
        <w:jc w:val="both"/>
      </w:pPr>
      <w:r w:rsidRPr="48B0091B">
        <w:rPr>
          <w:rFonts w:ascii="Verdana" w:eastAsia="Verdana" w:hAnsi="Verdana" w:cs="Verdana"/>
          <w:sz w:val="20"/>
          <w:szCs w:val="20"/>
        </w:rPr>
        <w:t>V případě, že je ke smlouvě dohodnutá kauce, je ve smlouvě v poli Označení na konci uvedena konstanta „K3“</w:t>
      </w:r>
    </w:p>
    <w:p w14:paraId="5932754B" w14:textId="0B434029" w:rsidR="00697C91" w:rsidRPr="009C2CE9" w:rsidRDefault="032B7977" w:rsidP="48B0091B">
      <w:pPr>
        <w:pStyle w:val="Nadpis2"/>
        <w:spacing w:before="200" w:line="276" w:lineRule="auto"/>
        <w:jc w:val="both"/>
      </w:pPr>
      <w:r w:rsidRPr="48B0091B">
        <w:rPr>
          <w:rFonts w:ascii="Verdana" w:eastAsia="Verdana" w:hAnsi="Verdana" w:cs="Verdana"/>
          <w:bCs/>
          <w:color w:val="4F81BD"/>
          <w:sz w:val="26"/>
          <w:szCs w:val="26"/>
        </w:rPr>
        <w:lastRenderedPageBreak/>
        <w:t>Požadavek</w:t>
      </w:r>
    </w:p>
    <w:p w14:paraId="5B080779" w14:textId="464A08E7" w:rsidR="00697C91" w:rsidRPr="009C2CE9" w:rsidRDefault="032B7977" w:rsidP="48B0091B">
      <w:pPr>
        <w:spacing w:after="200" w:line="276" w:lineRule="auto"/>
        <w:jc w:val="both"/>
      </w:pPr>
      <w:r w:rsidRPr="48B0091B">
        <w:rPr>
          <w:rFonts w:ascii="Verdana" w:eastAsia="Verdana" w:hAnsi="Verdana" w:cs="Verdana"/>
          <w:sz w:val="20"/>
          <w:szCs w:val="20"/>
        </w:rPr>
        <w:t>Nastavit nový druh smlouvy:</w:t>
      </w:r>
      <w:r w:rsidR="00697C91">
        <w:br/>
      </w:r>
      <w:r w:rsidRPr="48B0091B">
        <w:rPr>
          <w:rFonts w:ascii="Verdana" w:eastAsia="Verdana" w:hAnsi="Verdana" w:cs="Verdana"/>
          <w:sz w:val="20"/>
          <w:szCs w:val="20"/>
        </w:rPr>
        <w:t xml:space="preserve"> </w:t>
      </w:r>
      <w:r w:rsidRPr="48B0091B">
        <w:rPr>
          <w:rFonts w:ascii="Verdana" w:eastAsia="Verdana" w:hAnsi="Verdana" w:cs="Verdana"/>
          <w:b/>
          <w:bCs/>
          <w:sz w:val="20"/>
          <w:szCs w:val="20"/>
        </w:rPr>
        <w:t>Dohoda o kauci</w:t>
      </w:r>
    </w:p>
    <w:p w14:paraId="0AE1A595" w14:textId="0EC4A4ED" w:rsidR="00697C91" w:rsidRPr="009C2CE9" w:rsidRDefault="032B7977" w:rsidP="48B0091B">
      <w:pPr>
        <w:spacing w:after="200" w:line="276" w:lineRule="auto"/>
        <w:jc w:val="both"/>
      </w:pPr>
      <w:r w:rsidRPr="48B0091B">
        <w:rPr>
          <w:rFonts w:ascii="Verdana" w:eastAsia="Verdana" w:hAnsi="Verdana" w:cs="Verdana"/>
          <w:sz w:val="20"/>
          <w:szCs w:val="20"/>
        </w:rPr>
        <w:t>Tato dohoda b</w:t>
      </w:r>
      <w:r w:rsidR="34B4B83E" w:rsidRPr="48B0091B">
        <w:rPr>
          <w:rFonts w:ascii="Verdana" w:eastAsia="Verdana" w:hAnsi="Verdana" w:cs="Verdana"/>
          <w:sz w:val="20"/>
          <w:szCs w:val="20"/>
        </w:rPr>
        <w:t>y měla</w:t>
      </w:r>
      <w:r w:rsidRPr="48B0091B">
        <w:rPr>
          <w:rFonts w:ascii="Verdana" w:eastAsia="Verdana" w:hAnsi="Verdana" w:cs="Verdana"/>
          <w:sz w:val="20"/>
          <w:szCs w:val="20"/>
        </w:rPr>
        <w:t xml:space="preserve"> obsahovat:</w:t>
      </w:r>
    </w:p>
    <w:p w14:paraId="00EE3584" w14:textId="00B31FA0" w:rsidR="00697C91" w:rsidRPr="009C2CE9" w:rsidRDefault="032B7977" w:rsidP="0050364B">
      <w:pPr>
        <w:pStyle w:val="Odstavecseseznamem"/>
        <w:numPr>
          <w:ilvl w:val="0"/>
          <w:numId w:val="4"/>
        </w:numPr>
        <w:spacing w:after="0" w:line="257" w:lineRule="auto"/>
        <w:ind w:left="714" w:hanging="357"/>
        <w:jc w:val="both"/>
        <w:rPr>
          <w:rFonts w:ascii="Verdana" w:eastAsia="Verdana" w:hAnsi="Verdana" w:cs="Verdana"/>
          <w:sz w:val="20"/>
          <w:szCs w:val="20"/>
        </w:rPr>
      </w:pPr>
      <w:r w:rsidRPr="48B0091B">
        <w:rPr>
          <w:rFonts w:ascii="Verdana" w:eastAsia="Verdana" w:hAnsi="Verdana" w:cs="Verdana"/>
          <w:sz w:val="20"/>
          <w:szCs w:val="20"/>
        </w:rPr>
        <w:t xml:space="preserve">Vazbu na smlouvy, ke které se kauce vypočítává –&gt; Dohoda o kauci je pak v hlavní smlouvě vidět v Přehledech </w:t>
      </w:r>
    </w:p>
    <w:p w14:paraId="35166EC2" w14:textId="2D0E79A3" w:rsidR="00697C91" w:rsidRPr="009C2CE9" w:rsidRDefault="032B7977" w:rsidP="0050364B">
      <w:pPr>
        <w:pStyle w:val="Odstavecseseznamem"/>
        <w:numPr>
          <w:ilvl w:val="0"/>
          <w:numId w:val="4"/>
        </w:numPr>
        <w:spacing w:after="0" w:line="257" w:lineRule="auto"/>
        <w:ind w:left="714" w:hanging="357"/>
        <w:jc w:val="both"/>
        <w:rPr>
          <w:rFonts w:ascii="Verdana" w:eastAsia="Verdana" w:hAnsi="Verdana" w:cs="Verdana"/>
          <w:sz w:val="20"/>
          <w:szCs w:val="20"/>
        </w:rPr>
      </w:pPr>
      <w:r w:rsidRPr="48B0091B">
        <w:rPr>
          <w:rFonts w:ascii="Verdana" w:eastAsia="Verdana" w:hAnsi="Verdana" w:cs="Verdana"/>
          <w:sz w:val="20"/>
          <w:szCs w:val="20"/>
        </w:rPr>
        <w:t>Podmínku pro výpočet výše kauce – podmínka se zadáním násobku podmínky, ze které se kauce vypočítá</w:t>
      </w:r>
    </w:p>
    <w:p w14:paraId="2F113B84" w14:textId="28D04F61" w:rsidR="00697C91" w:rsidRPr="009C2CE9" w:rsidRDefault="032B7977" w:rsidP="0050364B">
      <w:pPr>
        <w:pStyle w:val="Odstavecseseznamem"/>
        <w:numPr>
          <w:ilvl w:val="0"/>
          <w:numId w:val="4"/>
        </w:numPr>
        <w:spacing w:after="0" w:line="257" w:lineRule="auto"/>
        <w:ind w:left="714" w:hanging="357"/>
        <w:jc w:val="both"/>
        <w:rPr>
          <w:rFonts w:ascii="Verdana" w:eastAsia="Verdana" w:hAnsi="Verdana" w:cs="Verdana"/>
          <w:sz w:val="20"/>
          <w:szCs w:val="20"/>
        </w:rPr>
      </w:pPr>
      <w:r w:rsidRPr="48B0091B">
        <w:rPr>
          <w:rFonts w:ascii="Verdana" w:eastAsia="Verdana" w:hAnsi="Verdana" w:cs="Verdana"/>
          <w:sz w:val="20"/>
          <w:szCs w:val="20"/>
        </w:rPr>
        <w:t>Podmínku pro čerpání kauce, pokud nájemce nezaplatí včas a kaucí je uhrazena pohledávka za nájem, správce zadá podmínku čerpání ve smlouvě (bude nastaveno opačné účtování = snížení kauce</w:t>
      </w:r>
    </w:p>
    <w:p w14:paraId="2CA09C96" w14:textId="18793F2B" w:rsidR="00697C91" w:rsidRPr="009C2CE9" w:rsidRDefault="032B7977" w:rsidP="0050364B">
      <w:pPr>
        <w:pStyle w:val="Odstavecseseznamem"/>
        <w:numPr>
          <w:ilvl w:val="0"/>
          <w:numId w:val="4"/>
        </w:numPr>
        <w:spacing w:after="0"/>
        <w:jc w:val="both"/>
        <w:rPr>
          <w:rFonts w:ascii="Arial" w:eastAsia="Arial" w:hAnsi="Arial" w:cs="Arial"/>
          <w:sz w:val="20"/>
          <w:szCs w:val="20"/>
        </w:rPr>
      </w:pPr>
      <w:r w:rsidRPr="48B0091B">
        <w:rPr>
          <w:rFonts w:ascii="Arial" w:eastAsia="Arial" w:hAnsi="Arial" w:cs="Arial"/>
          <w:sz w:val="20"/>
          <w:szCs w:val="20"/>
        </w:rPr>
        <w:t xml:space="preserve">Doplnění kauce – stejné jako “základní” kauce – možné založit samostatnou podmínku kvůli rozlišení se stejným účtováním jako vypočtená kauce -&gt; důležité zde bude zadávání datumů platnosti od-do– kvůli výpočtu úroků </w:t>
      </w:r>
    </w:p>
    <w:p w14:paraId="153B0246" w14:textId="0ED4E986" w:rsidR="00697C91" w:rsidRPr="009C2CE9" w:rsidRDefault="032B7977" w:rsidP="48B0091B">
      <w:pPr>
        <w:spacing w:after="200" w:line="276" w:lineRule="auto"/>
        <w:jc w:val="both"/>
      </w:pPr>
      <w:r w:rsidRPr="48B0091B">
        <w:rPr>
          <w:rFonts w:ascii="Verdana" w:eastAsia="Verdana" w:hAnsi="Verdana" w:cs="Verdana"/>
          <w:sz w:val="20"/>
          <w:szCs w:val="20"/>
        </w:rPr>
        <w:t xml:space="preserve"> </w:t>
      </w:r>
    </w:p>
    <w:p w14:paraId="76EB7656" w14:textId="3BB8C01C" w:rsidR="00697C91" w:rsidRPr="009C2CE9" w:rsidRDefault="032B7977" w:rsidP="48B0091B">
      <w:pPr>
        <w:spacing w:after="200" w:line="276" w:lineRule="auto"/>
        <w:jc w:val="both"/>
      </w:pPr>
      <w:r w:rsidRPr="48B0091B">
        <w:rPr>
          <w:rFonts w:ascii="Verdana" w:eastAsia="Verdana" w:hAnsi="Verdana" w:cs="Verdana"/>
          <w:sz w:val="20"/>
          <w:szCs w:val="20"/>
        </w:rPr>
        <w:t>V souvislosti s rozšířením využití funkcionalit modulu o Dohodu o kauci, založit v modulu FI tato data:</w:t>
      </w:r>
    </w:p>
    <w:p w14:paraId="13940761" w14:textId="7BD2062C" w:rsidR="00697C91" w:rsidRPr="009C2CE9" w:rsidRDefault="032B7977" w:rsidP="0050364B">
      <w:pPr>
        <w:pStyle w:val="Odstavecseseznamem"/>
        <w:numPr>
          <w:ilvl w:val="0"/>
          <w:numId w:val="3"/>
        </w:numPr>
        <w:spacing w:after="0" w:line="257" w:lineRule="auto"/>
        <w:ind w:left="714" w:hanging="357"/>
        <w:jc w:val="both"/>
        <w:rPr>
          <w:rFonts w:ascii="Verdana" w:eastAsia="Verdana" w:hAnsi="Verdana" w:cs="Verdana"/>
          <w:sz w:val="20"/>
          <w:szCs w:val="20"/>
        </w:rPr>
      </w:pPr>
      <w:r w:rsidRPr="48B0091B">
        <w:rPr>
          <w:rFonts w:ascii="Verdana" w:eastAsia="Verdana" w:hAnsi="Verdana" w:cs="Verdana"/>
          <w:sz w:val="20"/>
          <w:szCs w:val="20"/>
        </w:rPr>
        <w:t>Nový znak zvláštní hlavní knihy – k již exitujícímu znaku ZHK “L” založit nový znak ZHK, protože z RE-FX není možné účtování požadavku na zálohu (na úrovni podrozvahy) a reálného zaúčtování v okamžiku přijetí platby, ale je nutné i předpis kauce zaúčtovat na účty HK (proces analogicky jako zálohy)</w:t>
      </w:r>
    </w:p>
    <w:p w14:paraId="24F6D7EF" w14:textId="7172131A" w:rsidR="00697C91" w:rsidRPr="009C2CE9" w:rsidRDefault="032B7977" w:rsidP="0050364B">
      <w:pPr>
        <w:pStyle w:val="Odstavecseseznamem"/>
        <w:numPr>
          <w:ilvl w:val="0"/>
          <w:numId w:val="3"/>
        </w:numPr>
        <w:spacing w:after="0" w:line="257" w:lineRule="auto"/>
        <w:ind w:left="714" w:hanging="357"/>
        <w:jc w:val="both"/>
        <w:rPr>
          <w:rFonts w:ascii="Verdana" w:eastAsia="Verdana" w:hAnsi="Verdana" w:cs="Verdana"/>
          <w:sz w:val="20"/>
          <w:szCs w:val="20"/>
        </w:rPr>
      </w:pPr>
      <w:r w:rsidRPr="48B0091B">
        <w:rPr>
          <w:rFonts w:ascii="Verdana" w:eastAsia="Verdana" w:hAnsi="Verdana" w:cs="Verdana"/>
          <w:sz w:val="20"/>
          <w:szCs w:val="20"/>
        </w:rPr>
        <w:t>Nová analytika účtu pro účtování kaucí</w:t>
      </w:r>
    </w:p>
    <w:p w14:paraId="5C28A39F" w14:textId="61045D9A" w:rsidR="00697C91" w:rsidRPr="009C2CE9" w:rsidRDefault="032B7977" w:rsidP="48B0091B">
      <w:pPr>
        <w:spacing w:after="200" w:line="276" w:lineRule="auto"/>
        <w:jc w:val="both"/>
      </w:pPr>
      <w:r w:rsidRPr="48B0091B">
        <w:rPr>
          <w:rFonts w:ascii="Verdana" w:eastAsia="Verdana" w:hAnsi="Verdana" w:cs="Verdana"/>
          <w:sz w:val="20"/>
          <w:szCs w:val="20"/>
        </w:rPr>
        <w:t xml:space="preserve"> </w:t>
      </w:r>
    </w:p>
    <w:p w14:paraId="06905A89" w14:textId="04E43425" w:rsidR="00697C91" w:rsidRPr="009C2CE9" w:rsidRDefault="032B7977" w:rsidP="48B0091B">
      <w:pPr>
        <w:spacing w:after="200" w:line="276" w:lineRule="auto"/>
        <w:jc w:val="both"/>
        <w:rPr>
          <w:rFonts w:ascii="Verdana" w:eastAsia="Verdana" w:hAnsi="Verdana" w:cs="Verdana"/>
          <w:sz w:val="20"/>
          <w:szCs w:val="20"/>
        </w:rPr>
      </w:pPr>
      <w:r w:rsidRPr="48B0091B">
        <w:rPr>
          <w:rFonts w:ascii="Verdana" w:eastAsia="Verdana" w:hAnsi="Verdana" w:cs="Verdana"/>
          <w:sz w:val="20"/>
          <w:szCs w:val="20"/>
        </w:rPr>
        <w:t xml:space="preserve">Výhodou této evidence </w:t>
      </w:r>
      <w:r w:rsidR="5FB1A002" w:rsidRPr="48B0091B">
        <w:rPr>
          <w:rFonts w:ascii="Verdana" w:eastAsia="Verdana" w:hAnsi="Verdana" w:cs="Verdana"/>
          <w:sz w:val="20"/>
          <w:szCs w:val="20"/>
        </w:rPr>
        <w:t>bude</w:t>
      </w:r>
      <w:r w:rsidRPr="48B0091B">
        <w:rPr>
          <w:rFonts w:ascii="Verdana" w:eastAsia="Verdana" w:hAnsi="Verdana" w:cs="Verdana"/>
          <w:sz w:val="20"/>
          <w:szCs w:val="20"/>
        </w:rPr>
        <w:t xml:space="preserve">: </w:t>
      </w:r>
    </w:p>
    <w:p w14:paraId="7BA1D870" w14:textId="6002F694" w:rsidR="00697C91" w:rsidRPr="009C2CE9" w:rsidRDefault="032B7977" w:rsidP="0050364B">
      <w:pPr>
        <w:pStyle w:val="Odstavecseseznamem"/>
        <w:numPr>
          <w:ilvl w:val="0"/>
          <w:numId w:val="2"/>
        </w:numPr>
        <w:spacing w:after="0" w:line="257" w:lineRule="auto"/>
        <w:jc w:val="both"/>
        <w:rPr>
          <w:rFonts w:ascii="Verdana" w:eastAsia="Verdana" w:hAnsi="Verdana" w:cs="Verdana"/>
          <w:sz w:val="20"/>
          <w:szCs w:val="20"/>
        </w:rPr>
      </w:pPr>
      <w:r w:rsidRPr="48B0091B">
        <w:rPr>
          <w:rFonts w:ascii="Verdana" w:eastAsia="Verdana" w:hAnsi="Verdana" w:cs="Verdana"/>
          <w:sz w:val="20"/>
          <w:szCs w:val="20"/>
        </w:rPr>
        <w:t>správce smlouvy bude údaje zadávat do smlouvy a bude mít o nich přehled</w:t>
      </w:r>
    </w:p>
    <w:p w14:paraId="1FC8EE1B" w14:textId="2A61B84E" w:rsidR="00697C91" w:rsidRPr="009C2CE9" w:rsidRDefault="032B7977" w:rsidP="0050364B">
      <w:pPr>
        <w:pStyle w:val="Odstavecseseznamem"/>
        <w:numPr>
          <w:ilvl w:val="0"/>
          <w:numId w:val="2"/>
        </w:numPr>
        <w:spacing w:after="0" w:line="257" w:lineRule="auto"/>
        <w:jc w:val="both"/>
        <w:rPr>
          <w:rFonts w:ascii="Verdana" w:eastAsia="Verdana" w:hAnsi="Verdana" w:cs="Verdana"/>
          <w:sz w:val="20"/>
          <w:szCs w:val="20"/>
        </w:rPr>
      </w:pPr>
      <w:r w:rsidRPr="48B0091B">
        <w:rPr>
          <w:rFonts w:ascii="Verdana" w:eastAsia="Verdana" w:hAnsi="Verdana" w:cs="Verdana"/>
          <w:sz w:val="20"/>
          <w:szCs w:val="20"/>
        </w:rPr>
        <w:t>účtování bude vždy probíhat přes periodické účtování s vazbou na smlouvu</w:t>
      </w:r>
    </w:p>
    <w:p w14:paraId="725C71B6" w14:textId="55D5979A" w:rsidR="00697C91" w:rsidRPr="009C2CE9" w:rsidRDefault="032B7977" w:rsidP="0050364B">
      <w:pPr>
        <w:pStyle w:val="Odstavecseseznamem"/>
        <w:numPr>
          <w:ilvl w:val="0"/>
          <w:numId w:val="2"/>
        </w:numPr>
        <w:spacing w:after="0" w:line="257" w:lineRule="auto"/>
        <w:jc w:val="both"/>
        <w:rPr>
          <w:rFonts w:ascii="Verdana" w:eastAsia="Verdana" w:hAnsi="Verdana" w:cs="Verdana"/>
          <w:sz w:val="20"/>
          <w:szCs w:val="20"/>
        </w:rPr>
      </w:pPr>
      <w:r w:rsidRPr="48B0091B">
        <w:rPr>
          <w:rFonts w:ascii="Verdana" w:eastAsia="Verdana" w:hAnsi="Verdana" w:cs="Verdana"/>
          <w:sz w:val="20"/>
          <w:szCs w:val="20"/>
        </w:rPr>
        <w:t>zjednodušení komunikace s účetními (CSS) - bude nutná komunikace ohledně párování dokladů v případě zadání Čerpáni kauce, aby účetní věděla, kterou pohledávku má s tímto čerpáním spárovat</w:t>
      </w:r>
    </w:p>
    <w:p w14:paraId="37968D48" w14:textId="4010C0AF" w:rsidR="00697C91" w:rsidRPr="009C2CE9" w:rsidRDefault="1E415878" w:rsidP="48B0091B">
      <w:pPr>
        <w:pStyle w:val="Nadpis1"/>
        <w:rPr>
          <w:sz w:val="32"/>
          <w:szCs w:val="32"/>
        </w:rPr>
      </w:pPr>
      <w:r w:rsidRPr="0FFB23C9">
        <w:rPr>
          <w:sz w:val="32"/>
          <w:szCs w:val="32"/>
        </w:rPr>
        <w:t xml:space="preserve">3) </w:t>
      </w:r>
      <w:r w:rsidR="2DBF6F21" w:rsidRPr="0FFB23C9">
        <w:rPr>
          <w:sz w:val="32"/>
          <w:szCs w:val="32"/>
        </w:rPr>
        <w:t xml:space="preserve">Nastavení podmínky pro </w:t>
      </w:r>
      <w:r w:rsidR="00CB6283" w:rsidRPr="00CB6283">
        <w:rPr>
          <w:sz w:val="32"/>
          <w:szCs w:val="32"/>
        </w:rPr>
        <w:t>opravné účetní a daňové doklady</w:t>
      </w:r>
      <w:r w:rsidR="00CB6283">
        <w:rPr>
          <w:sz w:val="32"/>
          <w:szCs w:val="32"/>
        </w:rPr>
        <w:t xml:space="preserve"> (ODD)</w:t>
      </w:r>
      <w:r w:rsidR="2DBF6F21" w:rsidRPr="0FFB23C9">
        <w:rPr>
          <w:sz w:val="32"/>
          <w:szCs w:val="32"/>
        </w:rPr>
        <w:t xml:space="preserve"> při ukončení smluv relevantním datem</w:t>
      </w:r>
    </w:p>
    <w:p w14:paraId="4C2C9FE4" w14:textId="134FD5DB" w:rsidR="00697C91" w:rsidRPr="009C2CE9" w:rsidRDefault="2DBF6F21" w:rsidP="48B0091B">
      <w:pPr>
        <w:pStyle w:val="Nadpis2"/>
        <w:spacing w:before="200" w:line="276" w:lineRule="auto"/>
        <w:jc w:val="both"/>
        <w:rPr>
          <w:rFonts w:ascii="Verdana" w:eastAsia="Verdana" w:hAnsi="Verdana" w:cs="Verdana"/>
          <w:bCs/>
          <w:color w:val="4F81BD"/>
          <w:sz w:val="26"/>
          <w:szCs w:val="26"/>
        </w:rPr>
      </w:pPr>
      <w:r w:rsidRPr="48B0091B">
        <w:rPr>
          <w:bCs/>
          <w:color w:val="4F81BD"/>
          <w:sz w:val="26"/>
          <w:szCs w:val="26"/>
        </w:rPr>
        <w:t>Současný stav</w:t>
      </w:r>
    </w:p>
    <w:p w14:paraId="61C2F4FC" w14:textId="1AD1559C" w:rsidR="00697C91" w:rsidRPr="009C2CE9" w:rsidRDefault="2DBF6F21" w:rsidP="48B0091B">
      <w:pPr>
        <w:spacing w:after="200" w:line="276" w:lineRule="auto"/>
        <w:jc w:val="both"/>
      </w:pPr>
      <w:r w:rsidRPr="48B0091B">
        <w:rPr>
          <w:rFonts w:ascii="Verdana" w:eastAsia="Verdana" w:hAnsi="Verdana" w:cs="Verdana"/>
          <w:sz w:val="20"/>
          <w:szCs w:val="20"/>
        </w:rPr>
        <w:t xml:space="preserve">Podmínky u nebytových nájemních smluv jsou zadávány jako roční částka, u bytových nájemních smluv jako částka měsíční. </w:t>
      </w:r>
    </w:p>
    <w:p w14:paraId="347E8FE5" w14:textId="54A35DA5" w:rsidR="00041D70" w:rsidRDefault="2DBF6F21" w:rsidP="48B0091B">
      <w:pPr>
        <w:spacing w:after="200" w:line="276" w:lineRule="auto"/>
        <w:jc w:val="both"/>
        <w:rPr>
          <w:rFonts w:ascii="Verdana" w:eastAsia="Verdana" w:hAnsi="Verdana" w:cs="Verdana"/>
          <w:sz w:val="20"/>
          <w:szCs w:val="20"/>
        </w:rPr>
      </w:pPr>
      <w:r w:rsidRPr="48B0091B">
        <w:rPr>
          <w:rFonts w:ascii="Verdana" w:eastAsia="Verdana" w:hAnsi="Verdana" w:cs="Verdana"/>
          <w:sz w:val="20"/>
          <w:szCs w:val="20"/>
        </w:rPr>
        <w:t>Pokud dojde k ukončení smlouvy s roční částkou podmínky v průběhu roku, nedochází ke standardnímu zkrácení podmínky, ale smlouva zůstává platná do konce roku a na období od faktického konce do 31.12. je zadaná podmínk</w:t>
      </w:r>
      <w:r w:rsidR="00041D70">
        <w:rPr>
          <w:rFonts w:ascii="Verdana" w:eastAsia="Verdana" w:hAnsi="Verdana" w:cs="Verdana"/>
          <w:sz w:val="20"/>
          <w:szCs w:val="20"/>
        </w:rPr>
        <w:t>a</w:t>
      </w:r>
      <w:r w:rsidRPr="48B0091B">
        <w:rPr>
          <w:rFonts w:ascii="Verdana" w:eastAsia="Verdana" w:hAnsi="Verdana" w:cs="Verdana"/>
          <w:sz w:val="20"/>
          <w:szCs w:val="20"/>
        </w:rPr>
        <w:t xml:space="preserve"> pro snížení nájmu, kterou musí správce smlouvy dopočítat.</w:t>
      </w:r>
    </w:p>
    <w:p w14:paraId="5C4A01B2" w14:textId="3A66DE9F" w:rsidR="00697C91" w:rsidRPr="009C2CE9" w:rsidRDefault="2DBF6F21" w:rsidP="48B0091B">
      <w:pPr>
        <w:pStyle w:val="Nadpis2"/>
        <w:spacing w:before="200" w:line="276" w:lineRule="auto"/>
        <w:jc w:val="both"/>
      </w:pPr>
      <w:r w:rsidRPr="48B0091B">
        <w:rPr>
          <w:rFonts w:ascii="Verdana" w:eastAsia="Verdana" w:hAnsi="Verdana" w:cs="Verdana"/>
          <w:bCs/>
          <w:color w:val="4F81BD"/>
          <w:sz w:val="26"/>
          <w:szCs w:val="26"/>
        </w:rPr>
        <w:t>Požadavek</w:t>
      </w:r>
    </w:p>
    <w:p w14:paraId="20B5FFEA" w14:textId="543ACD7E" w:rsidR="00041D70" w:rsidRDefault="00041D70" w:rsidP="1DB42A92">
      <w:pPr>
        <w:spacing w:after="120" w:line="257" w:lineRule="auto"/>
        <w:jc w:val="both"/>
        <w:rPr>
          <w:rFonts w:ascii="Verdana" w:eastAsia="Verdana" w:hAnsi="Verdana" w:cs="Verdana"/>
          <w:sz w:val="20"/>
          <w:szCs w:val="20"/>
        </w:rPr>
      </w:pPr>
      <w:r w:rsidRPr="00041D70">
        <w:rPr>
          <w:rFonts w:ascii="Verdana" w:eastAsia="Verdana" w:hAnsi="Verdana" w:cs="Verdana"/>
          <w:sz w:val="20"/>
          <w:szCs w:val="20"/>
        </w:rPr>
        <w:t>Provést analýzu a vytvořit cílový koncept</w:t>
      </w:r>
      <w:r>
        <w:rPr>
          <w:rFonts w:ascii="Verdana" w:eastAsia="Verdana" w:hAnsi="Verdana" w:cs="Verdana"/>
          <w:sz w:val="20"/>
          <w:szCs w:val="20"/>
        </w:rPr>
        <w:t xml:space="preserve"> vyřešení situací, kdy p</w:t>
      </w:r>
      <w:r w:rsidRPr="00041D70">
        <w:rPr>
          <w:rFonts w:ascii="Verdana" w:eastAsia="Verdana" w:hAnsi="Verdana" w:cs="Verdana"/>
          <w:sz w:val="20"/>
          <w:szCs w:val="20"/>
        </w:rPr>
        <w:t xml:space="preserve">ři předčasném ukončení nájemního objektu, nájemní smlouvy nebo navýšení částky u nájemní smlouvy do </w:t>
      </w:r>
      <w:r w:rsidRPr="00041D70">
        <w:rPr>
          <w:rFonts w:ascii="Verdana" w:eastAsia="Verdana" w:hAnsi="Verdana" w:cs="Verdana"/>
          <w:sz w:val="20"/>
          <w:szCs w:val="20"/>
        </w:rPr>
        <w:lastRenderedPageBreak/>
        <w:t xml:space="preserve">minulosti </w:t>
      </w:r>
      <w:r>
        <w:rPr>
          <w:rFonts w:ascii="Verdana" w:eastAsia="Verdana" w:hAnsi="Verdana" w:cs="Verdana"/>
          <w:sz w:val="20"/>
          <w:szCs w:val="20"/>
        </w:rPr>
        <w:t xml:space="preserve">je třeba </w:t>
      </w:r>
      <w:r w:rsidRPr="00041D70">
        <w:rPr>
          <w:rFonts w:ascii="Verdana" w:eastAsia="Verdana" w:hAnsi="Verdana" w:cs="Verdana"/>
          <w:sz w:val="20"/>
          <w:szCs w:val="20"/>
        </w:rPr>
        <w:t>zajistit automatické vygenerování opravných účetních a daňových dokladů a k němu příslušné podmínky tak, aby bylo možno provést ukončení platnosti objektů s relevantním datem.</w:t>
      </w:r>
    </w:p>
    <w:p w14:paraId="0C54D905" w14:textId="7BE2E304" w:rsidR="00697C91" w:rsidRDefault="00041D70" w:rsidP="1DB42A92">
      <w:pPr>
        <w:spacing w:after="120" w:line="257" w:lineRule="auto"/>
        <w:jc w:val="both"/>
        <w:rPr>
          <w:rFonts w:ascii="Verdana" w:eastAsia="Verdana" w:hAnsi="Verdana" w:cs="Verdana"/>
          <w:sz w:val="20"/>
          <w:szCs w:val="20"/>
        </w:rPr>
      </w:pPr>
      <w:r w:rsidRPr="00041D70">
        <w:rPr>
          <w:rFonts w:ascii="Verdana" w:eastAsia="Verdana" w:hAnsi="Verdana" w:cs="Verdana"/>
          <w:sz w:val="20"/>
          <w:szCs w:val="20"/>
        </w:rPr>
        <w:t xml:space="preserve">Následně realizovat navržené řešení </w:t>
      </w:r>
      <w:r w:rsidR="2DBF6F21" w:rsidRPr="1DB42A92">
        <w:rPr>
          <w:rFonts w:ascii="Verdana" w:eastAsia="Verdana" w:hAnsi="Verdana" w:cs="Verdana"/>
          <w:sz w:val="20"/>
          <w:szCs w:val="20"/>
        </w:rPr>
        <w:t xml:space="preserve">tak, aby při ukončení data </w:t>
      </w:r>
      <w:r w:rsidR="1E1E59B4" w:rsidRPr="1DB42A92">
        <w:rPr>
          <w:rFonts w:ascii="Verdana" w:eastAsia="Verdana" w:hAnsi="Verdana" w:cs="Verdana"/>
          <w:sz w:val="20"/>
          <w:szCs w:val="20"/>
        </w:rPr>
        <w:t>nájemní smlouvy</w:t>
      </w:r>
      <w:r w:rsidR="2DBF6F21" w:rsidRPr="1DB42A92">
        <w:rPr>
          <w:rFonts w:ascii="Verdana" w:eastAsia="Verdana" w:hAnsi="Verdana" w:cs="Verdana"/>
          <w:sz w:val="20"/>
          <w:szCs w:val="20"/>
        </w:rPr>
        <w:t xml:space="preserve"> v průběhu periody podmínky byl automaticky vygenerován a zapsán pouze rozdíl ve </w:t>
      </w:r>
      <w:r w:rsidR="006F2716">
        <w:rPr>
          <w:rFonts w:ascii="Verdana" w:eastAsia="Verdana" w:hAnsi="Verdana" w:cs="Verdana"/>
          <w:sz w:val="20"/>
          <w:szCs w:val="20"/>
        </w:rPr>
        <w:t>finančním toku</w:t>
      </w:r>
      <w:r w:rsidR="2DBF6F21" w:rsidRPr="1DB42A92">
        <w:rPr>
          <w:rFonts w:ascii="Verdana" w:eastAsia="Verdana" w:hAnsi="Verdana" w:cs="Verdana"/>
          <w:sz w:val="20"/>
          <w:szCs w:val="20"/>
        </w:rPr>
        <w:t xml:space="preserve"> tak, aby i na tiskovém dokladu byl uveden pouze rozdíl = dobropis s možností volitelného DUZP, datum dokladu a datum vystavení již v modulu RE-FX.</w:t>
      </w:r>
    </w:p>
    <w:p w14:paraId="21F6FF80" w14:textId="77777777" w:rsidR="00F66D52" w:rsidRDefault="00F66D52" w:rsidP="1DB42A92">
      <w:pPr>
        <w:spacing w:after="120" w:line="257" w:lineRule="auto"/>
        <w:jc w:val="both"/>
        <w:rPr>
          <w:rFonts w:ascii="Verdana" w:eastAsia="Verdana" w:hAnsi="Verdana" w:cs="Verdana"/>
          <w:sz w:val="20"/>
          <w:szCs w:val="20"/>
        </w:rPr>
      </w:pPr>
    </w:p>
    <w:p w14:paraId="448E77C7" w14:textId="3CD74BB3" w:rsidR="00697C91" w:rsidRPr="009C2CE9" w:rsidRDefault="33C48171" w:rsidP="1DB42A92">
      <w:pPr>
        <w:pStyle w:val="Nadpis1"/>
        <w:rPr>
          <w:sz w:val="32"/>
          <w:szCs w:val="32"/>
        </w:rPr>
      </w:pPr>
      <w:r w:rsidRPr="0FFB23C9">
        <w:rPr>
          <w:sz w:val="32"/>
          <w:szCs w:val="32"/>
        </w:rPr>
        <w:t xml:space="preserve">4) </w:t>
      </w:r>
      <w:r w:rsidR="6E2A4F51" w:rsidRPr="0FFB23C9">
        <w:rPr>
          <w:sz w:val="32"/>
          <w:szCs w:val="32"/>
        </w:rPr>
        <w:t>Přidání</w:t>
      </w:r>
      <w:r w:rsidR="2DBF6F21" w:rsidRPr="0FFB23C9">
        <w:rPr>
          <w:sz w:val="32"/>
          <w:szCs w:val="32"/>
        </w:rPr>
        <w:t xml:space="preserve"> pole</w:t>
      </w:r>
      <w:r w:rsidR="6D421A12" w:rsidRPr="0FFB23C9">
        <w:rPr>
          <w:sz w:val="32"/>
          <w:szCs w:val="32"/>
        </w:rPr>
        <w:t xml:space="preserve"> “Doplněk adresy”</w:t>
      </w:r>
      <w:r w:rsidR="2DBF6F21" w:rsidRPr="0FFB23C9">
        <w:rPr>
          <w:sz w:val="32"/>
          <w:szCs w:val="32"/>
        </w:rPr>
        <w:t xml:space="preserve"> z BP do druhého řádku</w:t>
      </w:r>
      <w:r w:rsidR="51F170C9" w:rsidRPr="0FFB23C9">
        <w:rPr>
          <w:sz w:val="32"/>
          <w:szCs w:val="32"/>
        </w:rPr>
        <w:t xml:space="preserve"> formuláře</w:t>
      </w:r>
      <w:r w:rsidR="2DBF6F21" w:rsidRPr="0FFB23C9">
        <w:rPr>
          <w:sz w:val="32"/>
          <w:szCs w:val="32"/>
        </w:rPr>
        <w:t xml:space="preserve"> průvodní</w:t>
      </w:r>
      <w:r w:rsidR="6B99D58B" w:rsidRPr="0FFB23C9">
        <w:rPr>
          <w:sz w:val="32"/>
          <w:szCs w:val="32"/>
        </w:rPr>
        <w:t>ho</w:t>
      </w:r>
      <w:r w:rsidR="2DBF6F21" w:rsidRPr="0FFB23C9">
        <w:rPr>
          <w:sz w:val="32"/>
          <w:szCs w:val="32"/>
        </w:rPr>
        <w:t xml:space="preserve"> dopisu </w:t>
      </w:r>
      <w:r w:rsidR="0FA7ED8C" w:rsidRPr="0FFB23C9">
        <w:rPr>
          <w:sz w:val="32"/>
          <w:szCs w:val="32"/>
        </w:rPr>
        <w:t>splátkového kalendáře</w:t>
      </w:r>
      <w:r w:rsidR="2DBF6F21" w:rsidRPr="0FFB23C9">
        <w:rPr>
          <w:sz w:val="32"/>
          <w:szCs w:val="32"/>
        </w:rPr>
        <w:t xml:space="preserve"> u doručovací adresy</w:t>
      </w:r>
    </w:p>
    <w:p w14:paraId="522ECD1B" w14:textId="022BE794" w:rsidR="00697C91" w:rsidRPr="009C2CE9" w:rsidRDefault="2DBF6F21" w:rsidP="48B0091B">
      <w:pPr>
        <w:pStyle w:val="Nadpis2"/>
        <w:spacing w:before="200" w:line="276" w:lineRule="auto"/>
        <w:jc w:val="both"/>
      </w:pPr>
      <w:r w:rsidRPr="48B0091B">
        <w:rPr>
          <w:rFonts w:ascii="Verdana" w:eastAsia="Verdana" w:hAnsi="Verdana" w:cs="Verdana"/>
          <w:bCs/>
          <w:color w:val="4F81BD"/>
          <w:sz w:val="26"/>
          <w:szCs w:val="26"/>
        </w:rPr>
        <w:t>Požadavek</w:t>
      </w:r>
    </w:p>
    <w:p w14:paraId="788F7122" w14:textId="511ABFEB" w:rsidR="00697C91" w:rsidRPr="009C2CE9" w:rsidRDefault="2DBF6F21" w:rsidP="48B0091B">
      <w:pPr>
        <w:spacing w:after="200" w:line="276" w:lineRule="auto"/>
        <w:jc w:val="both"/>
        <w:rPr>
          <w:rFonts w:ascii="Verdana" w:eastAsia="Verdana" w:hAnsi="Verdana" w:cs="Verdana"/>
          <w:sz w:val="20"/>
          <w:szCs w:val="20"/>
        </w:rPr>
      </w:pPr>
      <w:r w:rsidRPr="48B0091B">
        <w:rPr>
          <w:rFonts w:ascii="Times New Roman" w:eastAsia="Times New Roman" w:hAnsi="Times New Roman" w:cs="Times New Roman"/>
          <w:sz w:val="24"/>
          <w:szCs w:val="24"/>
        </w:rPr>
        <w:t>V</w:t>
      </w:r>
      <w:r w:rsidRPr="48B0091B">
        <w:rPr>
          <w:rFonts w:eastAsiaTheme="minorEastAsia"/>
          <w:sz w:val="20"/>
          <w:szCs w:val="20"/>
        </w:rPr>
        <w:t xml:space="preserve"> případě, kdy nájemce žádá zasílat korespondenci, kdy je uveden v adrese i další název subjektu, např. nájemce V-KMV, a.s. BP5002313. V prvním řádku má být uveden adresát V-KMV, a.s. ve druhém řádku má být uveden </w:t>
      </w:r>
      <w:r w:rsidR="00161AA9" w:rsidRPr="48B0091B">
        <w:rPr>
          <w:rFonts w:eastAsiaTheme="minorEastAsia"/>
          <w:sz w:val="20"/>
          <w:szCs w:val="20"/>
        </w:rPr>
        <w:t xml:space="preserve">subjekt – </w:t>
      </w:r>
      <w:proofErr w:type="spellStart"/>
      <w:r w:rsidR="00161AA9" w:rsidRPr="48B0091B">
        <w:rPr>
          <w:rFonts w:eastAsiaTheme="minorEastAsia"/>
          <w:sz w:val="20"/>
          <w:szCs w:val="20"/>
        </w:rPr>
        <w:t>Crenn</w:t>
      </w:r>
      <w:proofErr w:type="spellEnd"/>
      <w:r w:rsidRPr="48B0091B">
        <w:rPr>
          <w:rFonts w:eastAsiaTheme="minorEastAsia"/>
          <w:sz w:val="20"/>
          <w:szCs w:val="20"/>
        </w:rPr>
        <w:t xml:space="preserve"> Point Office Center Anděl. Druhý řádek se na průvodním dopisu nezobrazuje.</w:t>
      </w:r>
    </w:p>
    <w:p w14:paraId="5E5528F3" w14:textId="0DC350E6" w:rsidR="00697C91" w:rsidRPr="009C2CE9" w:rsidRDefault="7AD154C8" w:rsidP="48B0091B">
      <w:pPr>
        <w:spacing w:after="200" w:line="276" w:lineRule="auto"/>
        <w:jc w:val="both"/>
        <w:rPr>
          <w:rFonts w:ascii="Verdana" w:eastAsia="Verdana" w:hAnsi="Verdana" w:cs="Verdana"/>
          <w:sz w:val="20"/>
          <w:szCs w:val="20"/>
        </w:rPr>
      </w:pPr>
      <w:r w:rsidRPr="1DB42A92">
        <w:rPr>
          <w:rFonts w:ascii="Verdana" w:eastAsia="Verdana" w:hAnsi="Verdana" w:cs="Verdana"/>
          <w:sz w:val="20"/>
          <w:szCs w:val="20"/>
        </w:rPr>
        <w:t>N</w:t>
      </w:r>
      <w:r w:rsidR="2DBF6F21" w:rsidRPr="1DB42A92">
        <w:rPr>
          <w:rFonts w:ascii="Verdana" w:eastAsia="Verdana" w:hAnsi="Verdana" w:cs="Verdana"/>
          <w:sz w:val="20"/>
          <w:szCs w:val="20"/>
        </w:rPr>
        <w:t xml:space="preserve">a BP je tento údaj v </w:t>
      </w:r>
      <w:r w:rsidR="00161AA9" w:rsidRPr="1DB42A92">
        <w:rPr>
          <w:rFonts w:ascii="Verdana" w:eastAsia="Verdana" w:hAnsi="Verdana" w:cs="Verdana"/>
          <w:sz w:val="20"/>
          <w:szCs w:val="20"/>
        </w:rPr>
        <w:t>kolonce – doplněk</w:t>
      </w:r>
      <w:r w:rsidR="2DBF6F21" w:rsidRPr="1DB42A92">
        <w:rPr>
          <w:rFonts w:ascii="Verdana" w:eastAsia="Verdana" w:hAnsi="Verdana" w:cs="Verdana"/>
          <w:sz w:val="20"/>
          <w:szCs w:val="20"/>
        </w:rPr>
        <w:t xml:space="preserve"> adresy.</w:t>
      </w:r>
    </w:p>
    <w:p w14:paraId="2D8ADAF3" w14:textId="110E5EC4" w:rsidR="00697C91" w:rsidRPr="009C2CE9" w:rsidRDefault="2DBF6F21" w:rsidP="48B0091B">
      <w:pPr>
        <w:spacing w:after="200" w:line="276" w:lineRule="auto"/>
        <w:jc w:val="both"/>
        <w:rPr>
          <w:rFonts w:ascii="Verdana" w:eastAsia="Verdana" w:hAnsi="Verdana" w:cs="Verdana"/>
          <w:sz w:val="20"/>
          <w:szCs w:val="20"/>
        </w:rPr>
      </w:pPr>
      <w:r w:rsidRPr="48B0091B">
        <w:rPr>
          <w:rFonts w:ascii="Verdana" w:eastAsia="Verdana" w:hAnsi="Verdana" w:cs="Verdana"/>
          <w:sz w:val="20"/>
          <w:szCs w:val="20"/>
        </w:rPr>
        <w:t>Druhý příklad je nájemce FASA METAL, s.r.o. BP5094617. Nájemce požaduje, aby korespondence byla zasílána na doručovací adresu, kdy adresát bude pouze – Jana Chlupová.</w:t>
      </w:r>
    </w:p>
    <w:p w14:paraId="78F98806" w14:textId="73339586" w:rsidR="00697C91" w:rsidRPr="009C2CE9" w:rsidRDefault="1AAD54CA" w:rsidP="48B0091B">
      <w:pPr>
        <w:spacing w:after="200" w:line="276" w:lineRule="auto"/>
        <w:jc w:val="both"/>
      </w:pPr>
      <w:r>
        <w:rPr>
          <w:noProof/>
        </w:rPr>
        <w:drawing>
          <wp:inline distT="0" distB="0" distL="0" distR="0" wp14:anchorId="267D296F" wp14:editId="48ECCCD9">
            <wp:extent cx="4444369" cy="2231330"/>
            <wp:effectExtent l="0" t="0" r="0" b="0"/>
            <wp:docPr id="1115657886" name="Obrázek 1115657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444369" cy="2231330"/>
                    </a:xfrm>
                    <a:prstGeom prst="rect">
                      <a:avLst/>
                    </a:prstGeom>
                  </pic:spPr>
                </pic:pic>
              </a:graphicData>
            </a:graphic>
          </wp:inline>
        </w:drawing>
      </w:r>
    </w:p>
    <w:p w14:paraId="7A5D8A62" w14:textId="4577415C" w:rsidR="00697C91" w:rsidRPr="009C2CE9" w:rsidRDefault="00697C91" w:rsidP="48B0091B">
      <w:pPr>
        <w:spacing w:after="200" w:line="276" w:lineRule="auto"/>
        <w:jc w:val="both"/>
        <w:rPr>
          <w:rFonts w:ascii="Verdana" w:eastAsia="Verdana" w:hAnsi="Verdana" w:cs="Verdana"/>
          <w:sz w:val="20"/>
          <w:szCs w:val="20"/>
        </w:rPr>
      </w:pPr>
    </w:p>
    <w:p w14:paraId="5A41F4B2" w14:textId="1DC3A801" w:rsidR="00697C91" w:rsidRPr="009C2CE9" w:rsidRDefault="4762ED47" w:rsidP="48B0091B">
      <w:pPr>
        <w:spacing w:after="200" w:line="276" w:lineRule="auto"/>
        <w:jc w:val="both"/>
        <w:rPr>
          <w:rFonts w:ascii="Verdana" w:eastAsia="Verdana" w:hAnsi="Verdana" w:cs="Verdana"/>
          <w:sz w:val="20"/>
          <w:szCs w:val="20"/>
        </w:rPr>
      </w:pPr>
      <w:r w:rsidRPr="1DB42A92">
        <w:rPr>
          <w:rFonts w:ascii="Verdana" w:eastAsia="Verdana" w:hAnsi="Verdana" w:cs="Verdana"/>
          <w:sz w:val="20"/>
          <w:szCs w:val="20"/>
        </w:rPr>
        <w:t>Na</w:t>
      </w:r>
      <w:r w:rsidR="2DBF6F21" w:rsidRPr="1DB42A92">
        <w:rPr>
          <w:rFonts w:ascii="Verdana" w:eastAsia="Verdana" w:hAnsi="Verdana" w:cs="Verdana"/>
          <w:sz w:val="20"/>
          <w:szCs w:val="20"/>
        </w:rPr>
        <w:t xml:space="preserve"> </w:t>
      </w:r>
      <w:r w:rsidR="288FCB4B" w:rsidRPr="1DB42A92">
        <w:rPr>
          <w:rFonts w:ascii="Verdana" w:eastAsia="Verdana" w:hAnsi="Verdana" w:cs="Verdana"/>
          <w:sz w:val="20"/>
          <w:szCs w:val="20"/>
        </w:rPr>
        <w:t>BP</w:t>
      </w:r>
      <w:r w:rsidR="2DBF6F21" w:rsidRPr="1DB42A92">
        <w:rPr>
          <w:rFonts w:ascii="Verdana" w:eastAsia="Verdana" w:hAnsi="Verdana" w:cs="Verdana"/>
          <w:sz w:val="20"/>
          <w:szCs w:val="20"/>
        </w:rPr>
        <w:t xml:space="preserve"> je tento údaj založen v kolonce – doplněk adresy. Na průvodním dopise ke splátkovému kalendáři je v adrese jako adresát uvedena firma FASA METAL, s.r.o.</w:t>
      </w:r>
    </w:p>
    <w:p w14:paraId="5410B027" w14:textId="619CE28E" w:rsidR="00697C91" w:rsidRPr="009C2CE9" w:rsidRDefault="2DBF6F21" w:rsidP="48B0091B">
      <w:pPr>
        <w:spacing w:after="200" w:line="276" w:lineRule="auto"/>
        <w:jc w:val="both"/>
        <w:rPr>
          <w:rFonts w:ascii="Verdana" w:eastAsia="Verdana" w:hAnsi="Verdana" w:cs="Verdana"/>
          <w:sz w:val="20"/>
          <w:szCs w:val="20"/>
        </w:rPr>
      </w:pPr>
      <w:r w:rsidRPr="1DB42A92">
        <w:rPr>
          <w:rFonts w:ascii="Verdana" w:eastAsia="Verdana" w:hAnsi="Verdana" w:cs="Verdana"/>
          <w:sz w:val="20"/>
          <w:szCs w:val="20"/>
        </w:rPr>
        <w:t xml:space="preserve"> V jednom případě by tedy bylo potřeba, aby doplněk adresy byl přidám jako další řádek do adresy a v druhém případě by bylo potřeba, aby doplněk adresy nahradil řádek první, tedy adresáta.</w:t>
      </w:r>
    </w:p>
    <w:p w14:paraId="6F888D4E" w14:textId="0ECC9EB6" w:rsidR="39C91D97" w:rsidRDefault="39C91D97" w:rsidP="39C91D97">
      <w:pPr>
        <w:pStyle w:val="Nadpis1"/>
        <w:rPr>
          <w:sz w:val="32"/>
          <w:szCs w:val="32"/>
        </w:rPr>
      </w:pPr>
      <w:r w:rsidRPr="0FFB23C9">
        <w:rPr>
          <w:sz w:val="32"/>
          <w:szCs w:val="32"/>
        </w:rPr>
        <w:lastRenderedPageBreak/>
        <w:t xml:space="preserve">5) </w:t>
      </w:r>
      <w:r w:rsidR="276E1D85" w:rsidRPr="0FFB23C9">
        <w:rPr>
          <w:sz w:val="32"/>
          <w:szCs w:val="32"/>
        </w:rPr>
        <w:t>Nové vyměření „85“ na AO místnosti</w:t>
      </w:r>
    </w:p>
    <w:p w14:paraId="75CC4329" w14:textId="493A7920" w:rsidR="276E1D85" w:rsidRDefault="276E1D85" w:rsidP="39C91D97">
      <w:pPr>
        <w:pStyle w:val="Nadpis2"/>
      </w:pPr>
      <w:r w:rsidRPr="39C91D97">
        <w:t>Současný stav</w:t>
      </w:r>
    </w:p>
    <w:p w14:paraId="376E7673" w14:textId="428D080F" w:rsidR="07788F9E" w:rsidRDefault="07788F9E" w:rsidP="39C91D97">
      <w:r w:rsidRPr="1DB42A92">
        <w:t>Na architektuře budov je zavedena výměra 80 - Podlahová plocha, která je a</w:t>
      </w:r>
      <w:r w:rsidR="7DE113FF" w:rsidRPr="1DB42A92">
        <w:t>utomaticky synchronizovaná na nájemní objekt (NO)</w:t>
      </w:r>
      <w:r w:rsidR="4D72B4DE" w:rsidRPr="1DB42A92">
        <w:t xml:space="preserve"> s dopady do účetnictví</w:t>
      </w:r>
      <w:r w:rsidR="7DE113FF" w:rsidRPr="1DB42A92">
        <w:t xml:space="preserve">. </w:t>
      </w:r>
      <w:r w:rsidR="5B10CC0F" w:rsidRPr="1DB42A92">
        <w:t xml:space="preserve">Pokud dojde ke změně vyměření 80 na architektuře, kde je připojený NO a platná </w:t>
      </w:r>
      <w:r w:rsidR="2A18017D" w:rsidRPr="1DB42A92">
        <w:t xml:space="preserve">smlouva, pak </w:t>
      </w:r>
      <w:r w:rsidR="38CCBF34" w:rsidRPr="1DB42A92">
        <w:t xml:space="preserve">dojde </w:t>
      </w:r>
      <w:r w:rsidR="7C78EFF5" w:rsidRPr="1DB42A92">
        <w:t xml:space="preserve">i </w:t>
      </w:r>
      <w:r w:rsidR="38CCBF34" w:rsidRPr="1DB42A92">
        <w:t xml:space="preserve">ke změně na NO a </w:t>
      </w:r>
      <w:r w:rsidR="35FF7454" w:rsidRPr="1DB42A92">
        <w:t xml:space="preserve">tím </w:t>
      </w:r>
      <w:r w:rsidR="38CCBF34" w:rsidRPr="1DB42A92">
        <w:t xml:space="preserve">vznikne nesoulad mezi </w:t>
      </w:r>
      <w:r w:rsidR="79589861" w:rsidRPr="1DB42A92">
        <w:t xml:space="preserve">vyměřením na NO, </w:t>
      </w:r>
      <w:r w:rsidR="38CCBF34" w:rsidRPr="1DB42A92">
        <w:t>platnou smlouvou</w:t>
      </w:r>
      <w:r w:rsidR="787E8A5E" w:rsidRPr="1DB42A92">
        <w:t xml:space="preserve"> a </w:t>
      </w:r>
      <w:r w:rsidR="414B2F3A" w:rsidRPr="1DB42A92">
        <w:t xml:space="preserve">vyměřením na </w:t>
      </w:r>
      <w:r w:rsidR="787E8A5E" w:rsidRPr="1DB42A92">
        <w:t>architektu</w:t>
      </w:r>
      <w:r w:rsidR="161DEDCC" w:rsidRPr="1DB42A92">
        <w:t>ře</w:t>
      </w:r>
      <w:r w:rsidR="787E8A5E" w:rsidRPr="1DB42A92">
        <w:t>. V účetnictví se vytvoří storna</w:t>
      </w:r>
      <w:r w:rsidR="180BFB61" w:rsidRPr="1DB42A92">
        <w:t xml:space="preserve"> nájemních předpisů</w:t>
      </w:r>
      <w:r w:rsidR="787E8A5E" w:rsidRPr="1DB42A92">
        <w:t>, což je nežádoucí stav.</w:t>
      </w:r>
    </w:p>
    <w:p w14:paraId="2BBB7C82" w14:textId="5A98511E" w:rsidR="6BB307D7" w:rsidRDefault="6BB307D7" w:rsidP="39C91D97">
      <w:pPr>
        <w:pStyle w:val="Nadpis2"/>
      </w:pPr>
      <w:r w:rsidRPr="39C91D97">
        <w:t>Požadavek</w:t>
      </w:r>
    </w:p>
    <w:p w14:paraId="1F5188B4" w14:textId="50332520" w:rsidR="6BB307D7" w:rsidRDefault="7021C9A9" w:rsidP="0050364B">
      <w:pPr>
        <w:pStyle w:val="Odstavecseseznamem"/>
        <w:numPr>
          <w:ilvl w:val="0"/>
          <w:numId w:val="1"/>
        </w:numPr>
        <w:spacing w:after="0" w:line="276" w:lineRule="auto"/>
        <w:rPr>
          <w:rFonts w:ascii="Verdana" w:eastAsia="Verdana" w:hAnsi="Verdana" w:cs="Verdana"/>
          <w:sz w:val="20"/>
          <w:szCs w:val="20"/>
        </w:rPr>
      </w:pPr>
      <w:r w:rsidRPr="1C09050F">
        <w:rPr>
          <w:rFonts w:ascii="Verdana" w:eastAsia="Verdana" w:hAnsi="Verdana" w:cs="Verdana"/>
          <w:sz w:val="20"/>
          <w:szCs w:val="20"/>
        </w:rPr>
        <w:t>Zavést na architektuře místnosti nově výměru 85 -Aktuální podlahová plocha a naplnit ji obsahem stávající/aktuální výměry 80 z AO místnost</w:t>
      </w:r>
      <w:r w:rsidR="67F3E062" w:rsidRPr="1C09050F">
        <w:rPr>
          <w:rFonts w:ascii="Verdana" w:eastAsia="Verdana" w:hAnsi="Verdana" w:cs="Verdana"/>
          <w:sz w:val="20"/>
          <w:szCs w:val="20"/>
        </w:rPr>
        <w:t xml:space="preserve">. Výměra 85 bude hierarchicky </w:t>
      </w:r>
      <w:proofErr w:type="spellStart"/>
      <w:r w:rsidR="67F3E062" w:rsidRPr="1C09050F">
        <w:rPr>
          <w:rFonts w:ascii="Verdana" w:eastAsia="Verdana" w:hAnsi="Verdana" w:cs="Verdana"/>
          <w:sz w:val="20"/>
          <w:szCs w:val="20"/>
        </w:rPr>
        <w:t>nasčítávána</w:t>
      </w:r>
      <w:proofErr w:type="spellEnd"/>
      <w:r w:rsidR="67F3E062" w:rsidRPr="1C09050F">
        <w:rPr>
          <w:rFonts w:ascii="Verdana" w:eastAsia="Verdana" w:hAnsi="Verdana" w:cs="Verdana"/>
          <w:sz w:val="20"/>
          <w:szCs w:val="20"/>
        </w:rPr>
        <w:t xml:space="preserve"> na úrove</w:t>
      </w:r>
      <w:r w:rsidR="77A48C7A" w:rsidRPr="1C09050F">
        <w:rPr>
          <w:rFonts w:ascii="Verdana" w:eastAsia="Verdana" w:hAnsi="Verdana" w:cs="Verdana"/>
          <w:sz w:val="20"/>
          <w:szCs w:val="20"/>
        </w:rPr>
        <w:t>ň</w:t>
      </w:r>
      <w:r w:rsidR="67F3E062" w:rsidRPr="1C09050F">
        <w:rPr>
          <w:rFonts w:ascii="Verdana" w:eastAsia="Verdana" w:hAnsi="Verdana" w:cs="Verdana"/>
          <w:sz w:val="20"/>
          <w:szCs w:val="20"/>
        </w:rPr>
        <w:t xml:space="preserve"> budovy</w:t>
      </w:r>
      <w:r w:rsidRPr="1C09050F">
        <w:rPr>
          <w:rFonts w:ascii="Verdana" w:eastAsia="Verdana" w:hAnsi="Verdana" w:cs="Verdana"/>
          <w:sz w:val="20"/>
          <w:szCs w:val="20"/>
        </w:rPr>
        <w:t xml:space="preserve"> </w:t>
      </w:r>
      <w:r w:rsidR="0E12BA8E" w:rsidRPr="1C09050F">
        <w:rPr>
          <w:rFonts w:ascii="Verdana" w:eastAsia="Verdana" w:hAnsi="Verdana" w:cs="Verdana"/>
          <w:sz w:val="20"/>
          <w:szCs w:val="20"/>
        </w:rPr>
        <w:t>a stávající výměra 80 přestane být hierarchická.</w:t>
      </w:r>
    </w:p>
    <w:p w14:paraId="52B42D1D" w14:textId="3E043070" w:rsidR="6BB307D7" w:rsidRDefault="6BB307D7" w:rsidP="39C91D97">
      <w:pPr>
        <w:spacing w:after="0" w:line="276" w:lineRule="auto"/>
        <w:ind w:left="720"/>
      </w:pPr>
      <w:r w:rsidRPr="39C91D97">
        <w:rPr>
          <w:rFonts w:ascii="Verdana" w:eastAsia="Verdana" w:hAnsi="Verdana" w:cs="Verdana"/>
          <w:sz w:val="20"/>
          <w:szCs w:val="20"/>
        </w:rPr>
        <w:t xml:space="preserve"> </w:t>
      </w:r>
    </w:p>
    <w:p w14:paraId="632B7DE2" w14:textId="3E4AA4E7" w:rsidR="6BB307D7" w:rsidRDefault="6BB307D7" w:rsidP="0050364B">
      <w:pPr>
        <w:pStyle w:val="Odstavecseseznamem"/>
        <w:numPr>
          <w:ilvl w:val="0"/>
          <w:numId w:val="1"/>
        </w:numPr>
        <w:spacing w:after="0" w:line="276" w:lineRule="auto"/>
        <w:rPr>
          <w:rFonts w:ascii="Verdana" w:eastAsia="Verdana" w:hAnsi="Verdana" w:cs="Verdana"/>
          <w:sz w:val="20"/>
          <w:szCs w:val="20"/>
        </w:rPr>
      </w:pPr>
      <w:r w:rsidRPr="2838A80D">
        <w:rPr>
          <w:rFonts w:ascii="Verdana" w:eastAsia="Verdana" w:hAnsi="Verdana" w:cs="Verdana"/>
          <w:sz w:val="20"/>
          <w:szCs w:val="20"/>
        </w:rPr>
        <w:t>Zavést mechanismus Avíza při změně výměry 85 na místnosti, který by směřoval na správce nájemních smluv. Text avíza by byl doladěn až při realizaci. Možnost i rozšíření seznamu příjemců avíza.</w:t>
      </w:r>
      <w:r w:rsidR="5B641190" w:rsidRPr="2838A80D">
        <w:rPr>
          <w:rFonts w:ascii="Verdana" w:eastAsia="Verdana" w:hAnsi="Verdana" w:cs="Verdana"/>
          <w:sz w:val="20"/>
          <w:szCs w:val="20"/>
        </w:rPr>
        <w:t xml:space="preserve"> Zároveň při změně výměry 85 bude možná změna pouze od aktuálního data a dále.</w:t>
      </w:r>
    </w:p>
    <w:p w14:paraId="4F9B2402" w14:textId="49F0E8A6" w:rsidR="6BB307D7" w:rsidRDefault="6BB307D7" w:rsidP="39C91D97">
      <w:pPr>
        <w:spacing w:after="0" w:line="276" w:lineRule="auto"/>
        <w:ind w:left="720"/>
      </w:pPr>
      <w:r w:rsidRPr="39C91D97">
        <w:rPr>
          <w:rFonts w:ascii="Verdana" w:eastAsia="Verdana" w:hAnsi="Verdana" w:cs="Verdana"/>
          <w:sz w:val="20"/>
          <w:szCs w:val="20"/>
        </w:rPr>
        <w:t xml:space="preserve"> </w:t>
      </w:r>
    </w:p>
    <w:p w14:paraId="6AB83AEF" w14:textId="5BB61B4C" w:rsidR="6BB307D7" w:rsidRDefault="6BB307D7" w:rsidP="0050364B">
      <w:pPr>
        <w:pStyle w:val="Odstavecseseznamem"/>
        <w:numPr>
          <w:ilvl w:val="0"/>
          <w:numId w:val="1"/>
        </w:numPr>
        <w:spacing w:after="0" w:line="276" w:lineRule="auto"/>
        <w:rPr>
          <w:rFonts w:ascii="Verdana" w:eastAsia="Verdana" w:hAnsi="Verdana" w:cs="Verdana"/>
          <w:sz w:val="20"/>
          <w:szCs w:val="20"/>
        </w:rPr>
      </w:pPr>
      <w:r w:rsidRPr="39C91D97">
        <w:rPr>
          <w:rFonts w:ascii="Verdana" w:eastAsia="Verdana" w:hAnsi="Verdana" w:cs="Verdana"/>
          <w:sz w:val="20"/>
          <w:szCs w:val="20"/>
        </w:rPr>
        <w:t xml:space="preserve">Vytvořit NOVÝ srovnávací report, který bude porovnávat výměry 80 a 85 na AO místnosti s možností zobrazení pouze rozdílů. </w:t>
      </w:r>
    </w:p>
    <w:p w14:paraId="0463DE5E" w14:textId="50A45A12" w:rsidR="6BB307D7" w:rsidRDefault="6BB307D7" w:rsidP="39C91D97">
      <w:pPr>
        <w:spacing w:after="0" w:line="276" w:lineRule="auto"/>
        <w:ind w:left="720"/>
      </w:pPr>
      <w:r w:rsidRPr="39C91D97">
        <w:rPr>
          <w:rFonts w:ascii="Verdana" w:eastAsia="Verdana" w:hAnsi="Verdana" w:cs="Verdana"/>
          <w:sz w:val="20"/>
          <w:szCs w:val="20"/>
        </w:rPr>
        <w:t xml:space="preserve">Do transakce by měla vstupovat množina NO, kterou definujeme zadáním </w:t>
      </w:r>
      <w:r w:rsidR="5161F558" w:rsidRPr="39C91D97">
        <w:rPr>
          <w:rFonts w:ascii="Verdana" w:eastAsia="Verdana" w:hAnsi="Verdana" w:cs="Verdana"/>
          <w:sz w:val="20"/>
          <w:szCs w:val="20"/>
        </w:rPr>
        <w:t>pracovního úseku (</w:t>
      </w:r>
      <w:r w:rsidRPr="39C91D97">
        <w:rPr>
          <w:rFonts w:ascii="Verdana" w:eastAsia="Verdana" w:hAnsi="Verdana" w:cs="Verdana"/>
          <w:sz w:val="20"/>
          <w:szCs w:val="20"/>
        </w:rPr>
        <w:t>PU</w:t>
      </w:r>
      <w:r w:rsidR="13E2D691" w:rsidRPr="39C91D97">
        <w:rPr>
          <w:rFonts w:ascii="Verdana" w:eastAsia="Verdana" w:hAnsi="Verdana" w:cs="Verdana"/>
          <w:sz w:val="20"/>
          <w:szCs w:val="20"/>
        </w:rPr>
        <w:t>)</w:t>
      </w:r>
      <w:r w:rsidRPr="39C91D97">
        <w:rPr>
          <w:rFonts w:ascii="Verdana" w:eastAsia="Verdana" w:hAnsi="Verdana" w:cs="Verdana"/>
          <w:sz w:val="20"/>
          <w:szCs w:val="20"/>
        </w:rPr>
        <w:t>, profit</w:t>
      </w:r>
      <w:r w:rsidR="003C5648">
        <w:rPr>
          <w:rFonts w:ascii="Verdana" w:eastAsia="Verdana" w:hAnsi="Verdana" w:cs="Verdana"/>
          <w:sz w:val="20"/>
          <w:szCs w:val="20"/>
        </w:rPr>
        <w:t xml:space="preserve"> </w:t>
      </w:r>
      <w:r w:rsidRPr="39C91D97">
        <w:rPr>
          <w:rFonts w:ascii="Verdana" w:eastAsia="Verdana" w:hAnsi="Verdana" w:cs="Verdana"/>
          <w:sz w:val="20"/>
          <w:szCs w:val="20"/>
        </w:rPr>
        <w:t>centra, budovy, AO budovy a nájemní smlouvy.</w:t>
      </w:r>
    </w:p>
    <w:p w14:paraId="4A2BB6A0" w14:textId="7F0BF62C" w:rsidR="6BB307D7" w:rsidRDefault="6BB307D7" w:rsidP="39C91D97">
      <w:pPr>
        <w:spacing w:after="0" w:line="276" w:lineRule="auto"/>
        <w:ind w:left="720"/>
      </w:pPr>
      <w:r w:rsidRPr="39C91D97">
        <w:rPr>
          <w:rFonts w:ascii="Verdana" w:eastAsia="Verdana" w:hAnsi="Verdana" w:cs="Verdana"/>
          <w:sz w:val="20"/>
          <w:szCs w:val="20"/>
        </w:rPr>
        <w:t xml:space="preserve"> </w:t>
      </w:r>
    </w:p>
    <w:p w14:paraId="393AFAE9" w14:textId="37FCAEAF" w:rsidR="6BB307D7" w:rsidRDefault="6BB307D7" w:rsidP="0050364B">
      <w:pPr>
        <w:pStyle w:val="Odstavecseseznamem"/>
        <w:numPr>
          <w:ilvl w:val="0"/>
          <w:numId w:val="1"/>
        </w:numPr>
        <w:spacing w:after="0" w:line="276" w:lineRule="auto"/>
        <w:rPr>
          <w:rFonts w:ascii="Verdana" w:eastAsia="Verdana" w:hAnsi="Verdana" w:cs="Verdana"/>
          <w:sz w:val="20"/>
          <w:szCs w:val="20"/>
        </w:rPr>
      </w:pPr>
      <w:r w:rsidRPr="39C91D97">
        <w:rPr>
          <w:rFonts w:ascii="Verdana" w:eastAsia="Verdana" w:hAnsi="Verdana" w:cs="Verdana"/>
          <w:sz w:val="20"/>
          <w:szCs w:val="20"/>
        </w:rPr>
        <w:t>Vytvořit NOVOU transakci, která by prováděla:</w:t>
      </w:r>
    </w:p>
    <w:p w14:paraId="7C7A84BD" w14:textId="3D521750" w:rsidR="635A0A29" w:rsidRDefault="635A0A29" w:rsidP="0050364B">
      <w:pPr>
        <w:pStyle w:val="Odstavecseseznamem"/>
        <w:numPr>
          <w:ilvl w:val="1"/>
          <w:numId w:val="1"/>
        </w:numPr>
        <w:spacing w:after="0" w:line="276" w:lineRule="auto"/>
        <w:rPr>
          <w:rFonts w:ascii="Verdana" w:eastAsia="Verdana" w:hAnsi="Verdana" w:cs="Verdana"/>
          <w:sz w:val="20"/>
          <w:szCs w:val="20"/>
        </w:rPr>
      </w:pPr>
      <w:r w:rsidRPr="6681C173">
        <w:rPr>
          <w:rFonts w:ascii="Verdana" w:eastAsia="Verdana" w:hAnsi="Verdana" w:cs="Verdana"/>
          <w:sz w:val="20"/>
          <w:szCs w:val="20"/>
        </w:rPr>
        <w:t>s</w:t>
      </w:r>
      <w:r w:rsidR="6BB307D7" w:rsidRPr="6681C173">
        <w:rPr>
          <w:rFonts w:ascii="Verdana" w:eastAsia="Verdana" w:hAnsi="Verdana" w:cs="Verdana"/>
          <w:sz w:val="20"/>
          <w:szCs w:val="20"/>
        </w:rPr>
        <w:t>ynchronizaci</w:t>
      </w:r>
      <w:r w:rsidR="2AE4C696" w:rsidRPr="6681C173">
        <w:rPr>
          <w:rFonts w:ascii="Verdana" w:eastAsia="Verdana" w:hAnsi="Verdana" w:cs="Verdana"/>
          <w:sz w:val="20"/>
          <w:szCs w:val="20"/>
        </w:rPr>
        <w:t xml:space="preserve">/zápis </w:t>
      </w:r>
      <w:r w:rsidR="6BB307D7" w:rsidRPr="6681C173">
        <w:rPr>
          <w:rFonts w:ascii="Verdana" w:eastAsia="Verdana" w:hAnsi="Verdana" w:cs="Verdana"/>
          <w:sz w:val="20"/>
          <w:szCs w:val="20"/>
        </w:rPr>
        <w:t>vyměření 8</w:t>
      </w:r>
      <w:r w:rsidR="52B0DD27" w:rsidRPr="6681C173">
        <w:rPr>
          <w:rFonts w:ascii="Verdana" w:eastAsia="Verdana" w:hAnsi="Verdana" w:cs="Verdana"/>
          <w:sz w:val="20"/>
          <w:szCs w:val="20"/>
        </w:rPr>
        <w:t>5</w:t>
      </w:r>
      <w:r w:rsidR="6BB307D7" w:rsidRPr="6681C173">
        <w:rPr>
          <w:rFonts w:ascii="Verdana" w:eastAsia="Verdana" w:hAnsi="Verdana" w:cs="Verdana"/>
          <w:sz w:val="20"/>
          <w:szCs w:val="20"/>
        </w:rPr>
        <w:t xml:space="preserve"> </w:t>
      </w:r>
      <w:r w:rsidR="5FC1CDC9" w:rsidRPr="6681C173">
        <w:rPr>
          <w:rFonts w:ascii="Verdana" w:eastAsia="Verdana" w:hAnsi="Verdana" w:cs="Verdana"/>
          <w:sz w:val="20"/>
          <w:szCs w:val="20"/>
        </w:rPr>
        <w:t>do 80</w:t>
      </w:r>
      <w:r w:rsidR="6BB307D7" w:rsidRPr="6681C173">
        <w:rPr>
          <w:rFonts w:ascii="Verdana" w:eastAsia="Verdana" w:hAnsi="Verdana" w:cs="Verdana"/>
          <w:sz w:val="20"/>
          <w:szCs w:val="20"/>
        </w:rPr>
        <w:t xml:space="preserve"> na AO místnosti od uživatelem zadaného data</w:t>
      </w:r>
      <w:r w:rsidR="7323E920" w:rsidRPr="6681C173">
        <w:rPr>
          <w:rFonts w:ascii="Verdana" w:eastAsia="Verdana" w:hAnsi="Verdana" w:cs="Verdana"/>
          <w:sz w:val="20"/>
          <w:szCs w:val="20"/>
        </w:rPr>
        <w:t xml:space="preserve"> </w:t>
      </w:r>
      <w:r w:rsidR="6ABB433C" w:rsidRPr="6681C173">
        <w:rPr>
          <w:rFonts w:ascii="Verdana" w:eastAsia="Verdana" w:hAnsi="Verdana" w:cs="Verdana"/>
          <w:sz w:val="20"/>
          <w:szCs w:val="20"/>
        </w:rPr>
        <w:t xml:space="preserve">(zápis/změna vyměření je myšleno řádným ukončením platnosti stávajícího </w:t>
      </w:r>
      <w:r w:rsidR="40C19D0E" w:rsidRPr="6681C173">
        <w:rPr>
          <w:rFonts w:ascii="Verdana" w:eastAsia="Verdana" w:hAnsi="Verdana" w:cs="Verdana"/>
          <w:sz w:val="20"/>
          <w:szCs w:val="20"/>
        </w:rPr>
        <w:t xml:space="preserve">vyměření </w:t>
      </w:r>
      <w:r w:rsidR="6816CB29" w:rsidRPr="6681C173">
        <w:rPr>
          <w:rFonts w:ascii="Verdana" w:eastAsia="Verdana" w:hAnsi="Verdana" w:cs="Verdana"/>
          <w:sz w:val="20"/>
          <w:szCs w:val="20"/>
        </w:rPr>
        <w:t xml:space="preserve">80 </w:t>
      </w:r>
      <w:r w:rsidR="1D820042" w:rsidRPr="6681C173">
        <w:rPr>
          <w:rFonts w:ascii="Verdana" w:eastAsia="Verdana" w:hAnsi="Verdana" w:cs="Verdana"/>
          <w:sz w:val="20"/>
          <w:szCs w:val="20"/>
        </w:rPr>
        <w:t xml:space="preserve">ke dni předcházejícímu datu zadaném uživatelem </w:t>
      </w:r>
      <w:r w:rsidR="6ABB433C" w:rsidRPr="6681C173">
        <w:rPr>
          <w:rFonts w:ascii="Verdana" w:eastAsia="Verdana" w:hAnsi="Verdana" w:cs="Verdana"/>
          <w:sz w:val="20"/>
          <w:szCs w:val="20"/>
        </w:rPr>
        <w:t>a založení nové</w:t>
      </w:r>
      <w:r w:rsidR="6F1F050E" w:rsidRPr="6681C173">
        <w:rPr>
          <w:rFonts w:ascii="Verdana" w:eastAsia="Verdana" w:hAnsi="Verdana" w:cs="Verdana"/>
          <w:sz w:val="20"/>
          <w:szCs w:val="20"/>
        </w:rPr>
        <w:t xml:space="preserve"> hodnoty</w:t>
      </w:r>
      <w:r w:rsidR="6ABB433C" w:rsidRPr="6681C173">
        <w:rPr>
          <w:rFonts w:ascii="Verdana" w:eastAsia="Verdana" w:hAnsi="Verdana" w:cs="Verdana"/>
          <w:sz w:val="20"/>
          <w:szCs w:val="20"/>
        </w:rPr>
        <w:t xml:space="preserve"> </w:t>
      </w:r>
      <w:r w:rsidR="3C067ADE" w:rsidRPr="6681C173">
        <w:rPr>
          <w:rFonts w:ascii="Verdana" w:eastAsia="Verdana" w:hAnsi="Verdana" w:cs="Verdana"/>
          <w:sz w:val="20"/>
          <w:szCs w:val="20"/>
        </w:rPr>
        <w:t xml:space="preserve">vyměření 80 </w:t>
      </w:r>
      <w:r w:rsidR="6ABB433C" w:rsidRPr="6681C173">
        <w:rPr>
          <w:rFonts w:ascii="Verdana" w:eastAsia="Verdana" w:hAnsi="Verdana" w:cs="Verdana"/>
          <w:sz w:val="20"/>
          <w:szCs w:val="20"/>
        </w:rPr>
        <w:t>včetně platnosti</w:t>
      </w:r>
      <w:r w:rsidR="022221F0" w:rsidRPr="6681C173">
        <w:rPr>
          <w:rFonts w:ascii="Verdana" w:eastAsia="Verdana" w:hAnsi="Verdana" w:cs="Verdana"/>
          <w:sz w:val="20"/>
          <w:szCs w:val="20"/>
        </w:rPr>
        <w:t xml:space="preserve"> rovnající se datu zadaném uživatelem)</w:t>
      </w:r>
    </w:p>
    <w:p w14:paraId="12E35A9B" w14:textId="6784A07F" w:rsidR="6BB307D7" w:rsidRDefault="6BB307D7" w:rsidP="0050364B">
      <w:pPr>
        <w:pStyle w:val="Odstavecseseznamem"/>
        <w:numPr>
          <w:ilvl w:val="1"/>
          <w:numId w:val="1"/>
        </w:numPr>
        <w:spacing w:after="0" w:line="276" w:lineRule="auto"/>
        <w:rPr>
          <w:rFonts w:ascii="Verdana" w:eastAsia="Verdana" w:hAnsi="Verdana" w:cs="Verdana"/>
          <w:sz w:val="20"/>
          <w:szCs w:val="20"/>
        </w:rPr>
      </w:pPr>
      <w:r w:rsidRPr="2FD655DB">
        <w:rPr>
          <w:rFonts w:ascii="Verdana" w:eastAsia="Verdana" w:hAnsi="Verdana" w:cs="Verdana"/>
          <w:sz w:val="20"/>
          <w:szCs w:val="20"/>
        </w:rPr>
        <w:t xml:space="preserve">synchronizaci vyměření </w:t>
      </w:r>
      <w:r w:rsidR="04E9D77A" w:rsidRPr="2FD655DB">
        <w:rPr>
          <w:rFonts w:ascii="Verdana" w:eastAsia="Verdana" w:hAnsi="Verdana" w:cs="Verdana"/>
          <w:sz w:val="20"/>
          <w:szCs w:val="20"/>
        </w:rPr>
        <w:t xml:space="preserve">80 z </w:t>
      </w:r>
      <w:r w:rsidRPr="2FD655DB">
        <w:rPr>
          <w:rFonts w:ascii="Verdana" w:eastAsia="Verdana" w:hAnsi="Verdana" w:cs="Verdana"/>
          <w:sz w:val="20"/>
          <w:szCs w:val="20"/>
        </w:rPr>
        <w:t xml:space="preserve">AO do NO </w:t>
      </w:r>
    </w:p>
    <w:p w14:paraId="4B7003E3" w14:textId="301109BF" w:rsidR="6BB307D7" w:rsidRDefault="6BB307D7" w:rsidP="39C91D97">
      <w:pPr>
        <w:ind w:firstLine="708"/>
        <w:rPr>
          <w:rFonts w:ascii="Verdana" w:eastAsia="Verdana" w:hAnsi="Verdana" w:cs="Verdana"/>
        </w:rPr>
      </w:pPr>
      <w:r w:rsidRPr="2FD655DB">
        <w:rPr>
          <w:rFonts w:ascii="Verdana" w:eastAsia="Verdana" w:hAnsi="Verdana" w:cs="Verdana"/>
          <w:sz w:val="20"/>
          <w:szCs w:val="20"/>
        </w:rPr>
        <w:t xml:space="preserve">Do transakce by měla vstupovat množina NO, kterou definujeme zadáním PU, </w:t>
      </w:r>
      <w:r>
        <w:tab/>
      </w:r>
      <w:r w:rsidRPr="2FD655DB">
        <w:rPr>
          <w:rFonts w:ascii="Verdana" w:eastAsia="Verdana" w:hAnsi="Verdana" w:cs="Verdana"/>
          <w:sz w:val="20"/>
          <w:szCs w:val="20"/>
        </w:rPr>
        <w:t>profit</w:t>
      </w:r>
      <w:r w:rsidR="00041A1B">
        <w:rPr>
          <w:rFonts w:ascii="Verdana" w:eastAsia="Verdana" w:hAnsi="Verdana" w:cs="Verdana"/>
          <w:sz w:val="20"/>
          <w:szCs w:val="20"/>
        </w:rPr>
        <w:t xml:space="preserve"> </w:t>
      </w:r>
      <w:r w:rsidRPr="2FD655DB">
        <w:rPr>
          <w:rFonts w:ascii="Verdana" w:eastAsia="Verdana" w:hAnsi="Verdana" w:cs="Verdana"/>
          <w:sz w:val="20"/>
          <w:szCs w:val="20"/>
        </w:rPr>
        <w:t>centra, budovy, AO budovy a nájemní smlouvy.</w:t>
      </w:r>
    </w:p>
    <w:p w14:paraId="6D477758" w14:textId="23B479B2" w:rsidR="001F61D9" w:rsidRDefault="001F61D9" w:rsidP="0050364B">
      <w:pPr>
        <w:pStyle w:val="Odstavecseseznamem"/>
        <w:numPr>
          <w:ilvl w:val="0"/>
          <w:numId w:val="1"/>
        </w:numPr>
        <w:spacing w:after="0" w:line="276" w:lineRule="auto"/>
        <w:rPr>
          <w:rFonts w:ascii="Verdana" w:eastAsia="Verdana" w:hAnsi="Verdana" w:cs="Verdana"/>
          <w:sz w:val="20"/>
          <w:szCs w:val="20"/>
        </w:rPr>
      </w:pPr>
      <w:r w:rsidRPr="2FD655DB">
        <w:rPr>
          <w:rFonts w:ascii="Verdana" w:eastAsia="Verdana" w:hAnsi="Verdana" w:cs="Verdana"/>
          <w:sz w:val="20"/>
          <w:szCs w:val="20"/>
        </w:rPr>
        <w:t xml:space="preserve">Při změně výměry 85 na místnosti </w:t>
      </w:r>
      <w:r w:rsidR="791DD55A" w:rsidRPr="2FD655DB">
        <w:rPr>
          <w:rFonts w:ascii="Verdana" w:eastAsia="Verdana" w:hAnsi="Verdana" w:cs="Verdana"/>
          <w:sz w:val="20"/>
          <w:szCs w:val="20"/>
        </w:rPr>
        <w:t>k datu změny nezasmluvněné provést změn</w:t>
      </w:r>
      <w:r w:rsidR="46F63530" w:rsidRPr="2FD655DB">
        <w:rPr>
          <w:rFonts w:ascii="Verdana" w:eastAsia="Verdana" w:hAnsi="Verdana" w:cs="Verdana"/>
          <w:sz w:val="20"/>
          <w:szCs w:val="20"/>
        </w:rPr>
        <w:t xml:space="preserve">y vyměření </w:t>
      </w:r>
      <w:r w:rsidR="791DD55A" w:rsidRPr="2FD655DB">
        <w:rPr>
          <w:rFonts w:ascii="Verdana" w:eastAsia="Verdana" w:hAnsi="Verdana" w:cs="Verdana"/>
          <w:sz w:val="20"/>
          <w:szCs w:val="20"/>
        </w:rPr>
        <w:t>80</w:t>
      </w:r>
      <w:r w:rsidR="376A1D1E" w:rsidRPr="2FD655DB">
        <w:rPr>
          <w:rFonts w:ascii="Verdana" w:eastAsia="Verdana" w:hAnsi="Verdana" w:cs="Verdana"/>
          <w:sz w:val="20"/>
          <w:szCs w:val="20"/>
        </w:rPr>
        <w:t xml:space="preserve"> </w:t>
      </w:r>
      <w:r w:rsidR="548991AF" w:rsidRPr="2FD655DB">
        <w:rPr>
          <w:rFonts w:ascii="Verdana" w:eastAsia="Verdana" w:hAnsi="Verdana" w:cs="Verdana"/>
          <w:sz w:val="20"/>
          <w:szCs w:val="20"/>
        </w:rPr>
        <w:t>na místnosti i NO. V tomto případě Avízo neodesílat.</w:t>
      </w:r>
    </w:p>
    <w:p w14:paraId="2740F708" w14:textId="12FF7B95" w:rsidR="2FD655DB" w:rsidRPr="00AE75D6" w:rsidRDefault="2FD655DB" w:rsidP="2FD655DB">
      <w:pPr>
        <w:ind w:firstLine="708"/>
        <w:rPr>
          <w:rFonts w:asciiTheme="majorHAnsi" w:eastAsiaTheme="majorEastAsia" w:hAnsiTheme="majorHAnsi" w:cstheme="majorBidi"/>
          <w:b/>
          <w:color w:val="FF5200" w:themeColor="accent2"/>
          <w:spacing w:val="-6"/>
          <w:sz w:val="36"/>
          <w:szCs w:val="36"/>
        </w:rPr>
      </w:pPr>
    </w:p>
    <w:p w14:paraId="6A9E4546" w14:textId="68136E25" w:rsidR="087EF7D6" w:rsidRDefault="00AE75D6" w:rsidP="00733E5C">
      <w:pPr>
        <w:rPr>
          <w:rFonts w:asciiTheme="majorHAnsi" w:eastAsiaTheme="majorEastAsia" w:hAnsiTheme="majorHAnsi" w:cstheme="majorBidi"/>
          <w:b/>
          <w:color w:val="FF5200" w:themeColor="accent2"/>
          <w:sz w:val="32"/>
          <w:szCs w:val="32"/>
        </w:rPr>
      </w:pPr>
      <w:r w:rsidRPr="0FFB23C9">
        <w:rPr>
          <w:rFonts w:asciiTheme="majorHAnsi" w:eastAsiaTheme="majorEastAsia" w:hAnsiTheme="majorHAnsi" w:cstheme="majorBidi"/>
          <w:b/>
          <w:color w:val="FF5200" w:themeColor="accent2"/>
          <w:spacing w:val="-6"/>
          <w:sz w:val="32"/>
          <w:szCs w:val="32"/>
        </w:rPr>
        <w:t xml:space="preserve">6) </w:t>
      </w:r>
      <w:r w:rsidR="00733E5C" w:rsidRPr="0FFB23C9">
        <w:rPr>
          <w:rFonts w:asciiTheme="majorHAnsi" w:eastAsiaTheme="majorEastAsia" w:hAnsiTheme="majorHAnsi" w:cstheme="majorBidi"/>
          <w:b/>
          <w:color w:val="FF5200" w:themeColor="accent2"/>
          <w:spacing w:val="-6"/>
          <w:sz w:val="32"/>
          <w:szCs w:val="32"/>
        </w:rPr>
        <w:t>Nezobrazování dat z Katastru nemovitostí u budov na kartě Data z KN</w:t>
      </w:r>
    </w:p>
    <w:p w14:paraId="02893F98" w14:textId="77777777" w:rsidR="00733E5C" w:rsidRDefault="00733E5C" w:rsidP="00733E5C">
      <w:pPr>
        <w:pStyle w:val="Nadpis2"/>
      </w:pPr>
      <w:r w:rsidRPr="39C91D97">
        <w:t>Současný stav</w:t>
      </w:r>
    </w:p>
    <w:p w14:paraId="4A53580D" w14:textId="11CD4DD1" w:rsidR="00733E5C" w:rsidRPr="00733E5C" w:rsidRDefault="00733E5C" w:rsidP="00733E5C">
      <w:pPr>
        <w:jc w:val="both"/>
        <w:rPr>
          <w:rFonts w:ascii="Verdana" w:eastAsia="Verdana" w:hAnsi="Verdana" w:cs="Verdana"/>
        </w:rPr>
      </w:pPr>
      <w:r w:rsidRPr="00733E5C">
        <w:rPr>
          <w:rFonts w:ascii="Verdana" w:eastAsia="Verdana" w:hAnsi="Verdana" w:cs="Verdana"/>
        </w:rPr>
        <w:t>Je-li budova zapsaná v</w:t>
      </w:r>
      <w:r>
        <w:rPr>
          <w:rFonts w:ascii="Verdana" w:eastAsia="Verdana" w:hAnsi="Verdana" w:cs="Verdana"/>
        </w:rPr>
        <w:t> katastru nemovitostí</w:t>
      </w:r>
      <w:r w:rsidRPr="00733E5C">
        <w:rPr>
          <w:rFonts w:ascii="Verdana" w:eastAsia="Verdana" w:hAnsi="Verdana" w:cs="Verdana"/>
        </w:rPr>
        <w:t>, a data na kartě Technická data jsou shodná s daty z</w:t>
      </w:r>
      <w:r>
        <w:rPr>
          <w:rFonts w:ascii="Verdana" w:eastAsia="Verdana" w:hAnsi="Verdana" w:cs="Verdana"/>
        </w:rPr>
        <w:t> katastru nemovitostí</w:t>
      </w:r>
      <w:r w:rsidRPr="00733E5C">
        <w:rPr>
          <w:rFonts w:ascii="Verdana" w:eastAsia="Verdana" w:hAnsi="Verdana" w:cs="Verdana"/>
        </w:rPr>
        <w:t>, zobrazují se data z</w:t>
      </w:r>
      <w:r>
        <w:rPr>
          <w:rFonts w:ascii="Verdana" w:eastAsia="Verdana" w:hAnsi="Verdana" w:cs="Verdana"/>
        </w:rPr>
        <w:t> katastru nemovitostí</w:t>
      </w:r>
      <w:r w:rsidRPr="00733E5C">
        <w:rPr>
          <w:rFonts w:ascii="Verdana" w:eastAsia="Verdana" w:hAnsi="Verdana" w:cs="Verdana"/>
        </w:rPr>
        <w:t xml:space="preserve"> na kartě Data z KN. Ale k zobrazení nedojde, pokud:</w:t>
      </w:r>
    </w:p>
    <w:p w14:paraId="7A65BF63" w14:textId="61475A24" w:rsidR="00733E5C" w:rsidRPr="00733E5C" w:rsidRDefault="00733E5C" w:rsidP="00733E5C">
      <w:pPr>
        <w:pStyle w:val="Odstavecseseznamem"/>
        <w:numPr>
          <w:ilvl w:val="0"/>
          <w:numId w:val="4"/>
        </w:numPr>
        <w:spacing w:after="0" w:line="257" w:lineRule="auto"/>
        <w:ind w:left="714" w:hanging="357"/>
        <w:jc w:val="both"/>
        <w:rPr>
          <w:rFonts w:ascii="Verdana" w:eastAsia="Verdana" w:hAnsi="Verdana" w:cs="Verdana"/>
          <w:sz w:val="20"/>
          <w:szCs w:val="20"/>
        </w:rPr>
      </w:pPr>
      <w:r w:rsidRPr="00733E5C">
        <w:rPr>
          <w:rFonts w:ascii="Verdana" w:eastAsia="Verdana" w:hAnsi="Verdana" w:cs="Verdana"/>
          <w:sz w:val="20"/>
          <w:szCs w:val="20"/>
        </w:rPr>
        <w:t>V případě, že jedna budova leží na více pozemcích</w:t>
      </w:r>
      <w:r>
        <w:rPr>
          <w:rFonts w:ascii="Verdana" w:eastAsia="Verdana" w:hAnsi="Verdana" w:cs="Verdana"/>
          <w:sz w:val="20"/>
          <w:szCs w:val="20"/>
        </w:rPr>
        <w:t>.</w:t>
      </w:r>
    </w:p>
    <w:p w14:paraId="2C6C42E9" w14:textId="095A0F91" w:rsidR="00733E5C" w:rsidRPr="00733E5C" w:rsidRDefault="00733E5C" w:rsidP="00733E5C">
      <w:pPr>
        <w:pStyle w:val="Odstavecseseznamem"/>
        <w:numPr>
          <w:ilvl w:val="0"/>
          <w:numId w:val="4"/>
        </w:numPr>
        <w:spacing w:after="0" w:line="257" w:lineRule="auto"/>
        <w:ind w:left="714" w:hanging="357"/>
        <w:jc w:val="both"/>
        <w:rPr>
          <w:rFonts w:ascii="Verdana" w:eastAsia="Verdana" w:hAnsi="Verdana" w:cs="Verdana"/>
          <w:sz w:val="20"/>
          <w:szCs w:val="20"/>
        </w:rPr>
      </w:pPr>
      <w:r w:rsidRPr="00733E5C">
        <w:rPr>
          <w:rFonts w:ascii="Verdana" w:eastAsia="Verdana" w:hAnsi="Verdana" w:cs="Verdana"/>
          <w:sz w:val="20"/>
          <w:szCs w:val="20"/>
        </w:rPr>
        <w:t>V případě, že jeden pozemek má více budov</w:t>
      </w:r>
      <w:r>
        <w:rPr>
          <w:rFonts w:ascii="Verdana" w:eastAsia="Verdana" w:hAnsi="Verdana" w:cs="Verdana"/>
          <w:sz w:val="20"/>
          <w:szCs w:val="20"/>
        </w:rPr>
        <w:t>.</w:t>
      </w:r>
    </w:p>
    <w:p w14:paraId="504FA78E" w14:textId="1849C641" w:rsidR="00733E5C" w:rsidRPr="00733E5C" w:rsidRDefault="00733E5C" w:rsidP="00733E5C">
      <w:pPr>
        <w:pStyle w:val="Odstavecseseznamem"/>
        <w:numPr>
          <w:ilvl w:val="0"/>
          <w:numId w:val="4"/>
        </w:numPr>
        <w:spacing w:after="0" w:line="257" w:lineRule="auto"/>
        <w:ind w:left="714" w:hanging="357"/>
        <w:jc w:val="both"/>
        <w:rPr>
          <w:rFonts w:ascii="Verdana" w:eastAsia="Verdana" w:hAnsi="Verdana" w:cs="Verdana"/>
          <w:sz w:val="20"/>
          <w:szCs w:val="20"/>
        </w:rPr>
      </w:pPr>
      <w:r w:rsidRPr="00733E5C">
        <w:rPr>
          <w:rFonts w:ascii="Verdana" w:eastAsia="Verdana" w:hAnsi="Verdana" w:cs="Verdana"/>
          <w:sz w:val="20"/>
          <w:szCs w:val="20"/>
        </w:rPr>
        <w:lastRenderedPageBreak/>
        <w:t>V případě, že dojde ke přesunu budovy z jednoho OŘ na jiné OŘ a dojde ke změně hospodářské jednotky nebo čísla SAP budovy. V tomto případě po výmazu Technických dat a ukončení přiřazení IC u předávajícího OŘ se u přijímajícího OŘ data z KN zobrazí pouze v případě, že na kmenových datech se překlikne z karty Data z KN a jinou, jakoukoliv kartu kmenových dat.</w:t>
      </w:r>
    </w:p>
    <w:p w14:paraId="67F519C9" w14:textId="77777777" w:rsidR="00733E5C" w:rsidRPr="009C2CE9" w:rsidRDefault="00733E5C" w:rsidP="00733E5C">
      <w:pPr>
        <w:pStyle w:val="Nadpis2"/>
        <w:spacing w:before="200" w:line="276" w:lineRule="auto"/>
        <w:jc w:val="both"/>
      </w:pPr>
      <w:r w:rsidRPr="48B0091B">
        <w:rPr>
          <w:rFonts w:ascii="Verdana" w:eastAsia="Verdana" w:hAnsi="Verdana" w:cs="Verdana"/>
          <w:bCs/>
          <w:color w:val="4F81BD"/>
          <w:sz w:val="26"/>
          <w:szCs w:val="26"/>
        </w:rPr>
        <w:t>Požadavek</w:t>
      </w:r>
    </w:p>
    <w:p w14:paraId="3A8B1296" w14:textId="461CCE45" w:rsidR="6CDAD888" w:rsidRPr="00F1355A" w:rsidRDefault="00733E5C" w:rsidP="007B6583">
      <w:pPr>
        <w:pStyle w:val="Odstavecseseznamem"/>
        <w:numPr>
          <w:ilvl w:val="0"/>
          <w:numId w:val="24"/>
        </w:numPr>
        <w:jc w:val="both"/>
        <w:rPr>
          <w:rFonts w:ascii="Verdana" w:eastAsia="Verdana" w:hAnsi="Verdana" w:cs="Verdana"/>
        </w:rPr>
      </w:pPr>
      <w:r w:rsidRPr="00F1355A">
        <w:rPr>
          <w:rFonts w:ascii="Verdana" w:eastAsia="Verdana" w:hAnsi="Verdana" w:cs="Verdana"/>
        </w:rPr>
        <w:t>Žádám úpravu programu tak, aby výše uvedené případy správně zobrazoval. Jde o to, aby se porovnával řetězec v SAP a Katastru nemovitostí:</w:t>
      </w:r>
    </w:p>
    <w:tbl>
      <w:tblPr>
        <w:tblW w:w="8567" w:type="dxa"/>
        <w:tblInd w:w="75" w:type="dxa"/>
        <w:tblCellMar>
          <w:left w:w="70" w:type="dxa"/>
          <w:right w:w="70" w:type="dxa"/>
        </w:tblCellMar>
        <w:tblLook w:val="04A0" w:firstRow="1" w:lastRow="0" w:firstColumn="1" w:lastColumn="0" w:noHBand="0" w:noVBand="1"/>
      </w:tblPr>
      <w:tblGrid>
        <w:gridCol w:w="1001"/>
        <w:gridCol w:w="1320"/>
        <w:gridCol w:w="1495"/>
        <w:gridCol w:w="1349"/>
        <w:gridCol w:w="1417"/>
        <w:gridCol w:w="1985"/>
      </w:tblGrid>
      <w:tr w:rsidR="00733E5C" w:rsidRPr="005F187F" w14:paraId="274C5709" w14:textId="77777777" w:rsidTr="00733E5C">
        <w:trPr>
          <w:trHeight w:val="900"/>
        </w:trPr>
        <w:tc>
          <w:tcPr>
            <w:tcW w:w="1001" w:type="dxa"/>
            <w:tcBorders>
              <w:top w:val="single" w:sz="4" w:space="0" w:color="auto"/>
              <w:left w:val="single" w:sz="4" w:space="0" w:color="auto"/>
              <w:bottom w:val="single" w:sz="4" w:space="0" w:color="auto"/>
              <w:right w:val="single" w:sz="4" w:space="0" w:color="auto"/>
            </w:tcBorders>
            <w:shd w:val="clear" w:color="000000" w:fill="C0C0C0"/>
            <w:hideMark/>
          </w:tcPr>
          <w:p w14:paraId="600C3E8A" w14:textId="77777777" w:rsidR="00733E5C" w:rsidRPr="005F187F" w:rsidRDefault="00733E5C">
            <w:pPr>
              <w:spacing w:after="0" w:line="240" w:lineRule="auto"/>
              <w:rPr>
                <w:rFonts w:ascii="Arial" w:eastAsia="Times New Roman" w:hAnsi="Arial" w:cs="Arial"/>
                <w:szCs w:val="20"/>
                <w:lang w:eastAsia="cs-CZ"/>
              </w:rPr>
            </w:pPr>
            <w:r w:rsidRPr="005F187F">
              <w:rPr>
                <w:rFonts w:ascii="Arial" w:eastAsia="Times New Roman" w:hAnsi="Arial" w:cs="Arial"/>
                <w:szCs w:val="20"/>
                <w:lang w:eastAsia="cs-CZ"/>
              </w:rPr>
              <w:t>TECH-Katastrální území</w:t>
            </w:r>
          </w:p>
        </w:tc>
        <w:tc>
          <w:tcPr>
            <w:tcW w:w="1320" w:type="dxa"/>
            <w:tcBorders>
              <w:top w:val="single" w:sz="4" w:space="0" w:color="auto"/>
              <w:left w:val="nil"/>
              <w:bottom w:val="single" w:sz="4" w:space="0" w:color="auto"/>
              <w:right w:val="single" w:sz="4" w:space="0" w:color="auto"/>
            </w:tcBorders>
            <w:shd w:val="clear" w:color="000000" w:fill="C0C0C0"/>
            <w:hideMark/>
          </w:tcPr>
          <w:p w14:paraId="50C825A6" w14:textId="77777777" w:rsidR="00733E5C" w:rsidRPr="005F187F" w:rsidRDefault="00733E5C">
            <w:pPr>
              <w:spacing w:after="0" w:line="240" w:lineRule="auto"/>
              <w:rPr>
                <w:rFonts w:ascii="Arial" w:eastAsia="Times New Roman" w:hAnsi="Arial" w:cs="Arial"/>
                <w:szCs w:val="20"/>
                <w:lang w:eastAsia="cs-CZ"/>
              </w:rPr>
            </w:pPr>
            <w:r w:rsidRPr="005F187F">
              <w:rPr>
                <w:rFonts w:ascii="Arial" w:eastAsia="Times New Roman" w:hAnsi="Arial" w:cs="Arial"/>
                <w:szCs w:val="20"/>
                <w:lang w:eastAsia="cs-CZ"/>
              </w:rPr>
              <w:t xml:space="preserve">TECH-Parcela - </w:t>
            </w:r>
            <w:proofErr w:type="spellStart"/>
            <w:proofErr w:type="gramStart"/>
            <w:r w:rsidRPr="005F187F">
              <w:rPr>
                <w:rFonts w:ascii="Arial" w:eastAsia="Times New Roman" w:hAnsi="Arial" w:cs="Arial"/>
                <w:szCs w:val="20"/>
                <w:lang w:eastAsia="cs-CZ"/>
              </w:rPr>
              <w:t>kmen.číslo</w:t>
            </w:r>
            <w:proofErr w:type="spellEnd"/>
            <w:proofErr w:type="gramEnd"/>
          </w:p>
        </w:tc>
        <w:tc>
          <w:tcPr>
            <w:tcW w:w="1495" w:type="dxa"/>
            <w:tcBorders>
              <w:top w:val="single" w:sz="4" w:space="0" w:color="auto"/>
              <w:left w:val="nil"/>
              <w:bottom w:val="single" w:sz="4" w:space="0" w:color="auto"/>
              <w:right w:val="single" w:sz="4" w:space="0" w:color="auto"/>
            </w:tcBorders>
            <w:shd w:val="clear" w:color="000000" w:fill="C0C0C0"/>
            <w:noWrap/>
            <w:hideMark/>
          </w:tcPr>
          <w:p w14:paraId="29593243" w14:textId="77777777" w:rsidR="00733E5C" w:rsidRPr="005F187F" w:rsidRDefault="00733E5C">
            <w:pPr>
              <w:spacing w:after="0" w:line="240" w:lineRule="auto"/>
              <w:rPr>
                <w:rFonts w:ascii="Arial" w:eastAsia="Times New Roman" w:hAnsi="Arial" w:cs="Arial"/>
                <w:szCs w:val="20"/>
                <w:lang w:eastAsia="cs-CZ"/>
              </w:rPr>
            </w:pPr>
            <w:r w:rsidRPr="005F187F">
              <w:rPr>
                <w:rFonts w:ascii="Arial" w:eastAsia="Times New Roman" w:hAnsi="Arial" w:cs="Arial"/>
                <w:szCs w:val="20"/>
                <w:lang w:eastAsia="cs-CZ"/>
              </w:rPr>
              <w:t>TECH-</w:t>
            </w:r>
            <w:proofErr w:type="gramStart"/>
            <w:r w:rsidRPr="005F187F">
              <w:rPr>
                <w:rFonts w:ascii="Arial" w:eastAsia="Times New Roman" w:hAnsi="Arial" w:cs="Arial"/>
                <w:szCs w:val="20"/>
                <w:lang w:eastAsia="cs-CZ"/>
              </w:rPr>
              <w:t xml:space="preserve">Parcela - </w:t>
            </w:r>
            <w:proofErr w:type="spellStart"/>
            <w:r w:rsidRPr="005F187F">
              <w:rPr>
                <w:rFonts w:ascii="Arial" w:eastAsia="Times New Roman" w:hAnsi="Arial" w:cs="Arial"/>
                <w:szCs w:val="20"/>
                <w:lang w:eastAsia="cs-CZ"/>
              </w:rPr>
              <w:t>poddělení</w:t>
            </w:r>
            <w:proofErr w:type="spellEnd"/>
            <w:proofErr w:type="gramEnd"/>
          </w:p>
        </w:tc>
        <w:tc>
          <w:tcPr>
            <w:tcW w:w="1349" w:type="dxa"/>
            <w:tcBorders>
              <w:top w:val="single" w:sz="4" w:space="0" w:color="auto"/>
              <w:left w:val="nil"/>
              <w:bottom w:val="single" w:sz="4" w:space="0" w:color="auto"/>
              <w:right w:val="single" w:sz="4" w:space="0" w:color="auto"/>
            </w:tcBorders>
            <w:shd w:val="clear" w:color="000000" w:fill="C0C0C0"/>
            <w:noWrap/>
            <w:hideMark/>
          </w:tcPr>
          <w:p w14:paraId="5DEA0FD3" w14:textId="77777777" w:rsidR="00733E5C" w:rsidRPr="005F187F" w:rsidRDefault="00733E5C">
            <w:pPr>
              <w:spacing w:after="0" w:line="240" w:lineRule="auto"/>
              <w:rPr>
                <w:rFonts w:ascii="Arial" w:eastAsia="Times New Roman" w:hAnsi="Arial" w:cs="Arial"/>
                <w:szCs w:val="20"/>
                <w:lang w:eastAsia="cs-CZ"/>
              </w:rPr>
            </w:pPr>
            <w:r w:rsidRPr="005F187F">
              <w:rPr>
                <w:rFonts w:ascii="Arial" w:eastAsia="Times New Roman" w:hAnsi="Arial" w:cs="Arial"/>
                <w:szCs w:val="20"/>
                <w:lang w:eastAsia="cs-CZ"/>
              </w:rPr>
              <w:t>TECH-</w:t>
            </w:r>
            <w:proofErr w:type="gramStart"/>
            <w:r w:rsidRPr="005F187F">
              <w:rPr>
                <w:rFonts w:ascii="Arial" w:eastAsia="Times New Roman" w:hAnsi="Arial" w:cs="Arial"/>
                <w:szCs w:val="20"/>
                <w:lang w:eastAsia="cs-CZ"/>
              </w:rPr>
              <w:t>Parcela - díl</w:t>
            </w:r>
            <w:proofErr w:type="gramEnd"/>
          </w:p>
        </w:tc>
        <w:tc>
          <w:tcPr>
            <w:tcW w:w="1417" w:type="dxa"/>
            <w:tcBorders>
              <w:top w:val="single" w:sz="4" w:space="0" w:color="auto"/>
              <w:left w:val="nil"/>
              <w:bottom w:val="single" w:sz="4" w:space="0" w:color="auto"/>
              <w:right w:val="single" w:sz="4" w:space="0" w:color="auto"/>
            </w:tcBorders>
            <w:shd w:val="clear" w:color="000000" w:fill="C0C0C0"/>
            <w:hideMark/>
          </w:tcPr>
          <w:p w14:paraId="776E0989" w14:textId="77777777" w:rsidR="00733E5C" w:rsidRPr="005F187F" w:rsidRDefault="00733E5C">
            <w:pPr>
              <w:spacing w:after="0" w:line="240" w:lineRule="auto"/>
              <w:rPr>
                <w:rFonts w:ascii="Arial" w:eastAsia="Times New Roman" w:hAnsi="Arial" w:cs="Arial"/>
                <w:szCs w:val="20"/>
                <w:lang w:eastAsia="cs-CZ"/>
              </w:rPr>
            </w:pPr>
            <w:r w:rsidRPr="005F187F">
              <w:rPr>
                <w:rFonts w:ascii="Arial" w:eastAsia="Times New Roman" w:hAnsi="Arial" w:cs="Arial"/>
                <w:szCs w:val="20"/>
                <w:lang w:eastAsia="cs-CZ"/>
              </w:rPr>
              <w:t>TECH-Druh číslování</w:t>
            </w:r>
          </w:p>
        </w:tc>
        <w:tc>
          <w:tcPr>
            <w:tcW w:w="1985" w:type="dxa"/>
            <w:tcBorders>
              <w:top w:val="single" w:sz="4" w:space="0" w:color="auto"/>
              <w:left w:val="nil"/>
              <w:bottom w:val="single" w:sz="4" w:space="0" w:color="auto"/>
              <w:right w:val="single" w:sz="4" w:space="0" w:color="auto"/>
            </w:tcBorders>
            <w:shd w:val="clear" w:color="000000" w:fill="C0C0C0"/>
            <w:noWrap/>
            <w:hideMark/>
          </w:tcPr>
          <w:p w14:paraId="5370BE96" w14:textId="77777777" w:rsidR="00733E5C" w:rsidRPr="005F187F" w:rsidRDefault="00733E5C">
            <w:pPr>
              <w:spacing w:after="0" w:line="240" w:lineRule="auto"/>
              <w:rPr>
                <w:rFonts w:ascii="Arial" w:eastAsia="Times New Roman" w:hAnsi="Arial" w:cs="Arial"/>
                <w:szCs w:val="20"/>
                <w:lang w:eastAsia="cs-CZ"/>
              </w:rPr>
            </w:pPr>
            <w:r w:rsidRPr="005F187F">
              <w:rPr>
                <w:rFonts w:ascii="Arial" w:eastAsia="Times New Roman" w:hAnsi="Arial" w:cs="Arial"/>
                <w:szCs w:val="20"/>
                <w:lang w:eastAsia="cs-CZ"/>
              </w:rPr>
              <w:t>TECH-Zdroj parcel ZE</w:t>
            </w:r>
          </w:p>
        </w:tc>
      </w:tr>
    </w:tbl>
    <w:p w14:paraId="1388F5FB" w14:textId="77777777" w:rsidR="00733E5C" w:rsidRDefault="00733E5C" w:rsidP="00733E5C">
      <w:pPr>
        <w:jc w:val="both"/>
        <w:rPr>
          <w:rFonts w:ascii="Verdana" w:eastAsia="Verdana" w:hAnsi="Verdana" w:cs="Verdana"/>
        </w:rPr>
      </w:pPr>
    </w:p>
    <w:p w14:paraId="6CA1A801" w14:textId="74B26E88" w:rsidR="00CA0F96" w:rsidRPr="00F1355A" w:rsidRDefault="00167255" w:rsidP="007A3DCA">
      <w:pPr>
        <w:pStyle w:val="Odstavecseseznamem"/>
        <w:numPr>
          <w:ilvl w:val="0"/>
          <w:numId w:val="24"/>
        </w:numPr>
        <w:jc w:val="both"/>
        <w:rPr>
          <w:rFonts w:ascii="Verdana" w:eastAsia="Verdana" w:hAnsi="Verdana" w:cs="Verdana"/>
        </w:rPr>
      </w:pPr>
      <w:r w:rsidRPr="00F1355A">
        <w:rPr>
          <w:rFonts w:ascii="Verdana" w:eastAsia="Verdana" w:hAnsi="Verdana" w:cs="Verdana"/>
        </w:rPr>
        <w:t>V </w:t>
      </w:r>
      <w:r w:rsidR="00CA0F96" w:rsidRPr="00F1355A">
        <w:rPr>
          <w:rFonts w:ascii="Verdana" w:eastAsia="Verdana" w:hAnsi="Verdana" w:cs="Verdana"/>
        </w:rPr>
        <w:t>případě</w:t>
      </w:r>
      <w:r w:rsidRPr="00F1355A">
        <w:rPr>
          <w:rFonts w:ascii="Verdana" w:eastAsia="Verdana" w:hAnsi="Verdana" w:cs="Verdana"/>
        </w:rPr>
        <w:t xml:space="preserve"> vyplňování</w:t>
      </w:r>
      <w:r w:rsidR="00CA0F96" w:rsidRPr="00F1355A">
        <w:rPr>
          <w:rFonts w:ascii="Verdana" w:eastAsia="Verdana" w:hAnsi="Verdana" w:cs="Verdana"/>
        </w:rPr>
        <w:t xml:space="preserve"> ID vlastního pozemku na kartě Technická data, </w:t>
      </w:r>
      <w:r w:rsidR="002A34AC" w:rsidRPr="00F1355A">
        <w:rPr>
          <w:rFonts w:ascii="Verdana" w:eastAsia="Verdana" w:hAnsi="Verdana" w:cs="Verdana"/>
        </w:rPr>
        <w:t>požadujeme</w:t>
      </w:r>
      <w:r w:rsidR="00CA0F96" w:rsidRPr="00F1355A">
        <w:rPr>
          <w:rFonts w:ascii="Verdana" w:eastAsia="Verdana" w:hAnsi="Verdana" w:cs="Verdana"/>
        </w:rPr>
        <w:t xml:space="preserve"> automaticky </w:t>
      </w:r>
      <w:r w:rsidR="00F1355A" w:rsidRPr="00F1355A">
        <w:rPr>
          <w:rFonts w:ascii="Verdana" w:eastAsia="Verdana" w:hAnsi="Verdana" w:cs="Verdana"/>
        </w:rPr>
        <w:t>zde zobrazit</w:t>
      </w:r>
      <w:r w:rsidR="00CA0F96" w:rsidRPr="00F1355A">
        <w:rPr>
          <w:rFonts w:ascii="Verdana" w:eastAsia="Verdana" w:hAnsi="Verdana" w:cs="Verdana"/>
        </w:rPr>
        <w:t xml:space="preserve"> hodnoty z</w:t>
      </w:r>
      <w:r w:rsidR="000F4832" w:rsidRPr="00F1355A">
        <w:rPr>
          <w:rFonts w:ascii="Verdana" w:eastAsia="Verdana" w:hAnsi="Verdana" w:cs="Verdana"/>
        </w:rPr>
        <w:t> katastru nemovitostí</w:t>
      </w:r>
      <w:r w:rsidR="00CA0F96" w:rsidRPr="00F1355A">
        <w:rPr>
          <w:rFonts w:ascii="Verdana" w:eastAsia="Verdana" w:hAnsi="Verdana" w:cs="Verdana"/>
        </w:rPr>
        <w:t>, které jsou uvedeny v kmenových datech pozemku.</w:t>
      </w:r>
    </w:p>
    <w:p w14:paraId="5F0C3C37" w14:textId="77777777" w:rsidR="00CA0F96" w:rsidRDefault="00CA0F96" w:rsidP="00733E5C">
      <w:pPr>
        <w:jc w:val="both"/>
        <w:rPr>
          <w:rFonts w:ascii="Verdana" w:eastAsia="Verdana" w:hAnsi="Verdana" w:cs="Verdana"/>
        </w:rPr>
      </w:pPr>
    </w:p>
    <w:p w14:paraId="37D8AF04" w14:textId="77777777" w:rsidR="00E751CB" w:rsidRDefault="00E751CB" w:rsidP="00733E5C">
      <w:pPr>
        <w:jc w:val="both"/>
        <w:rPr>
          <w:rFonts w:ascii="Verdana" w:eastAsia="Verdana" w:hAnsi="Verdana" w:cs="Verdana"/>
        </w:rPr>
      </w:pPr>
    </w:p>
    <w:p w14:paraId="51F9F7EC" w14:textId="5604F6F3" w:rsidR="00E751CB" w:rsidRDefault="00E751CB" w:rsidP="00E751CB">
      <w:pPr>
        <w:rPr>
          <w:rFonts w:asciiTheme="majorHAnsi" w:eastAsiaTheme="majorEastAsia" w:hAnsiTheme="majorHAnsi" w:cstheme="majorBidi"/>
          <w:b/>
          <w:color w:val="FF5200" w:themeColor="accent2"/>
          <w:sz w:val="32"/>
          <w:szCs w:val="32"/>
        </w:rPr>
      </w:pPr>
      <w:r>
        <w:rPr>
          <w:rFonts w:asciiTheme="majorHAnsi" w:eastAsiaTheme="majorEastAsia" w:hAnsiTheme="majorHAnsi" w:cstheme="majorBidi"/>
          <w:b/>
          <w:color w:val="FF5200" w:themeColor="accent2"/>
          <w:spacing w:val="-6"/>
          <w:sz w:val="32"/>
          <w:szCs w:val="32"/>
        </w:rPr>
        <w:t>7</w:t>
      </w:r>
      <w:r w:rsidRPr="0FFB23C9">
        <w:rPr>
          <w:rFonts w:asciiTheme="majorHAnsi" w:eastAsiaTheme="majorEastAsia" w:hAnsiTheme="majorHAnsi" w:cstheme="majorBidi"/>
          <w:b/>
          <w:color w:val="FF5200" w:themeColor="accent2"/>
          <w:spacing w:val="-6"/>
          <w:sz w:val="32"/>
          <w:szCs w:val="32"/>
        </w:rPr>
        <w:t xml:space="preserve">) </w:t>
      </w:r>
      <w:r>
        <w:rPr>
          <w:rFonts w:asciiTheme="majorHAnsi" w:eastAsiaTheme="majorEastAsia" w:hAnsiTheme="majorHAnsi" w:cstheme="majorBidi"/>
          <w:b/>
          <w:color w:val="FF5200" w:themeColor="accent2"/>
          <w:spacing w:val="-6"/>
          <w:sz w:val="32"/>
          <w:szCs w:val="32"/>
        </w:rPr>
        <w:t>N</w:t>
      </w:r>
      <w:r w:rsidRPr="00E751CB">
        <w:rPr>
          <w:rFonts w:asciiTheme="majorHAnsi" w:eastAsiaTheme="majorEastAsia" w:hAnsiTheme="majorHAnsi" w:cstheme="majorBidi"/>
          <w:b/>
          <w:color w:val="FF5200" w:themeColor="accent2"/>
          <w:spacing w:val="-6"/>
          <w:sz w:val="32"/>
          <w:szCs w:val="32"/>
        </w:rPr>
        <w:t xml:space="preserve">astavením kontroly výměry </w:t>
      </w:r>
      <w:r>
        <w:rPr>
          <w:rFonts w:asciiTheme="majorHAnsi" w:eastAsiaTheme="majorEastAsia" w:hAnsiTheme="majorHAnsi" w:cstheme="majorBidi"/>
          <w:b/>
          <w:color w:val="FF5200" w:themeColor="accent2"/>
          <w:spacing w:val="-6"/>
          <w:sz w:val="32"/>
          <w:szCs w:val="32"/>
        </w:rPr>
        <w:t>nájemních objektů</w:t>
      </w:r>
      <w:r w:rsidRPr="00E751CB">
        <w:rPr>
          <w:rFonts w:asciiTheme="majorHAnsi" w:eastAsiaTheme="majorEastAsia" w:hAnsiTheme="majorHAnsi" w:cstheme="majorBidi"/>
          <w:b/>
          <w:color w:val="FF5200" w:themeColor="accent2"/>
          <w:spacing w:val="-6"/>
          <w:sz w:val="32"/>
          <w:szCs w:val="32"/>
        </w:rPr>
        <w:t xml:space="preserve"> k budovám i pozemkům</w:t>
      </w:r>
    </w:p>
    <w:p w14:paraId="7DA8F112" w14:textId="5B837440" w:rsidR="00E751CB" w:rsidRDefault="00E751CB" w:rsidP="00E751CB">
      <w:pPr>
        <w:pStyle w:val="Nadpis2"/>
      </w:pPr>
      <w:r>
        <w:t>Požadavek</w:t>
      </w:r>
    </w:p>
    <w:p w14:paraId="09C66C2D" w14:textId="28B1AAD8" w:rsidR="00E751CB" w:rsidRPr="009949B2" w:rsidRDefault="00E751CB" w:rsidP="009949B2">
      <w:pPr>
        <w:pStyle w:val="Odstavecseseznamem"/>
        <w:numPr>
          <w:ilvl w:val="0"/>
          <w:numId w:val="31"/>
        </w:numPr>
        <w:jc w:val="both"/>
        <w:rPr>
          <w:rFonts w:ascii="Verdana" w:eastAsia="Verdana" w:hAnsi="Verdana" w:cs="Verdana"/>
        </w:rPr>
      </w:pPr>
      <w:r w:rsidRPr="009949B2">
        <w:rPr>
          <w:rFonts w:ascii="Verdana" w:eastAsia="Verdana" w:hAnsi="Verdana" w:cs="Verdana"/>
        </w:rPr>
        <w:t>vytvořit kontrolní report výměr v ERP:</w:t>
      </w:r>
    </w:p>
    <w:p w14:paraId="1C30BD69" w14:textId="7D0B8886" w:rsidR="00E751CB" w:rsidRPr="00E751CB" w:rsidRDefault="00A151A9" w:rsidP="00E751CB">
      <w:pPr>
        <w:pStyle w:val="Odstavecseseznamem"/>
        <w:numPr>
          <w:ilvl w:val="0"/>
          <w:numId w:val="29"/>
        </w:numPr>
        <w:jc w:val="both"/>
        <w:rPr>
          <w:rFonts w:ascii="Verdana" w:eastAsia="Verdana" w:hAnsi="Verdana" w:cs="Verdana"/>
        </w:rPr>
      </w:pPr>
      <w:r w:rsidRPr="00A151A9">
        <w:rPr>
          <w:rFonts w:ascii="Verdana" w:eastAsia="Verdana" w:hAnsi="Verdana" w:cs="Verdana"/>
        </w:rPr>
        <w:t xml:space="preserve">u </w:t>
      </w:r>
      <w:r>
        <w:rPr>
          <w:rFonts w:ascii="Verdana" w:eastAsia="Verdana" w:hAnsi="Verdana" w:cs="Verdana"/>
        </w:rPr>
        <w:t>nájemních objektů</w:t>
      </w:r>
      <w:r w:rsidRPr="00A151A9">
        <w:rPr>
          <w:rFonts w:ascii="Verdana" w:eastAsia="Verdana" w:hAnsi="Verdana" w:cs="Verdana"/>
        </w:rPr>
        <w:t xml:space="preserve"> – přiřazeným k místnostem</w:t>
      </w:r>
    </w:p>
    <w:p w14:paraId="14DF2E6D" w14:textId="2906E921" w:rsidR="00E751CB" w:rsidRDefault="00A151A9" w:rsidP="009949B2">
      <w:pPr>
        <w:pStyle w:val="Odstavecseseznamem"/>
        <w:numPr>
          <w:ilvl w:val="0"/>
          <w:numId w:val="29"/>
        </w:numPr>
        <w:jc w:val="both"/>
        <w:rPr>
          <w:rFonts w:ascii="Verdana" w:eastAsia="Verdana" w:hAnsi="Verdana" w:cs="Verdana"/>
        </w:rPr>
      </w:pPr>
      <w:r w:rsidRPr="00A151A9">
        <w:rPr>
          <w:rFonts w:ascii="Verdana" w:eastAsia="Verdana" w:hAnsi="Verdana" w:cs="Verdana"/>
        </w:rPr>
        <w:t xml:space="preserve">u </w:t>
      </w:r>
      <w:r>
        <w:rPr>
          <w:rFonts w:ascii="Verdana" w:eastAsia="Verdana" w:hAnsi="Verdana" w:cs="Verdana"/>
        </w:rPr>
        <w:t>nájemních objektů</w:t>
      </w:r>
      <w:r w:rsidRPr="00A151A9">
        <w:rPr>
          <w:rFonts w:ascii="Verdana" w:eastAsia="Verdana" w:hAnsi="Verdana" w:cs="Verdana"/>
        </w:rPr>
        <w:t xml:space="preserve"> – přiřazeným k pozemkům</w:t>
      </w:r>
    </w:p>
    <w:p w14:paraId="6CACC721" w14:textId="77777777" w:rsidR="009949B2" w:rsidRPr="009949B2" w:rsidRDefault="009949B2" w:rsidP="009949B2">
      <w:pPr>
        <w:pStyle w:val="Odstavecseseznamem"/>
        <w:jc w:val="both"/>
        <w:rPr>
          <w:rFonts w:ascii="Verdana" w:eastAsia="Verdana" w:hAnsi="Verdana" w:cs="Verdana"/>
        </w:rPr>
      </w:pPr>
    </w:p>
    <w:p w14:paraId="41D7A2E6" w14:textId="25898B4C" w:rsidR="00E751CB" w:rsidRPr="00E751CB" w:rsidRDefault="009949B2" w:rsidP="009949B2">
      <w:pPr>
        <w:pStyle w:val="Odstavecseseznamem"/>
        <w:numPr>
          <w:ilvl w:val="0"/>
          <w:numId w:val="31"/>
        </w:numPr>
        <w:jc w:val="both"/>
        <w:rPr>
          <w:rFonts w:ascii="Verdana" w:eastAsia="Verdana" w:hAnsi="Verdana" w:cs="Verdana"/>
        </w:rPr>
      </w:pPr>
      <w:r w:rsidRPr="00E751CB">
        <w:rPr>
          <w:rFonts w:ascii="Verdana" w:eastAsia="Verdana" w:hAnsi="Verdana" w:cs="Verdana"/>
        </w:rPr>
        <w:t>dopracování</w:t>
      </w:r>
      <w:r w:rsidR="00E751CB" w:rsidRPr="00E751CB">
        <w:rPr>
          <w:rFonts w:ascii="Verdana" w:eastAsia="Verdana" w:hAnsi="Verdana" w:cs="Verdana"/>
        </w:rPr>
        <w:t xml:space="preserve"> kontroly přiřazovaných výměr na nájemních objektech:</w:t>
      </w:r>
    </w:p>
    <w:p w14:paraId="089119B7" w14:textId="092A6B96" w:rsidR="00E751CB" w:rsidRPr="00E751CB" w:rsidRDefault="00E751CB" w:rsidP="00E751CB">
      <w:pPr>
        <w:pStyle w:val="Odstavecseseznamem"/>
        <w:numPr>
          <w:ilvl w:val="0"/>
          <w:numId w:val="30"/>
        </w:numPr>
        <w:jc w:val="both"/>
        <w:rPr>
          <w:rFonts w:ascii="Verdana" w:eastAsia="Verdana" w:hAnsi="Verdana" w:cs="Verdana"/>
        </w:rPr>
      </w:pPr>
      <w:r w:rsidRPr="00E751CB">
        <w:rPr>
          <w:rFonts w:ascii="Verdana" w:eastAsia="Verdana" w:hAnsi="Verdana" w:cs="Verdana"/>
        </w:rPr>
        <w:t xml:space="preserve">u </w:t>
      </w:r>
      <w:r>
        <w:rPr>
          <w:rFonts w:ascii="Verdana" w:eastAsia="Verdana" w:hAnsi="Verdana" w:cs="Verdana"/>
        </w:rPr>
        <w:t>nájemních objektů</w:t>
      </w:r>
      <w:r w:rsidR="00A151A9">
        <w:rPr>
          <w:rFonts w:ascii="Verdana" w:eastAsia="Verdana" w:hAnsi="Verdana" w:cs="Verdana"/>
        </w:rPr>
        <w:t xml:space="preserve"> </w:t>
      </w:r>
      <w:r w:rsidRPr="00E751CB">
        <w:rPr>
          <w:rFonts w:ascii="Verdana" w:eastAsia="Verdana" w:hAnsi="Verdana" w:cs="Verdana"/>
        </w:rPr>
        <w:t>– přiřazeným k místnostem</w:t>
      </w:r>
    </w:p>
    <w:p w14:paraId="553545A9" w14:textId="09600A04" w:rsidR="00E751CB" w:rsidRPr="00733E5C" w:rsidRDefault="00E751CB" w:rsidP="00E751CB">
      <w:pPr>
        <w:pStyle w:val="Odstavecseseznamem"/>
        <w:numPr>
          <w:ilvl w:val="0"/>
          <w:numId w:val="30"/>
        </w:numPr>
        <w:jc w:val="both"/>
        <w:rPr>
          <w:rFonts w:ascii="Verdana" w:eastAsia="Verdana" w:hAnsi="Verdana" w:cs="Verdana"/>
        </w:rPr>
      </w:pPr>
      <w:r w:rsidRPr="00E751CB">
        <w:rPr>
          <w:rFonts w:ascii="Verdana" w:eastAsia="Verdana" w:hAnsi="Verdana" w:cs="Verdana"/>
        </w:rPr>
        <w:t xml:space="preserve">u </w:t>
      </w:r>
      <w:r>
        <w:rPr>
          <w:rFonts w:ascii="Verdana" w:eastAsia="Verdana" w:hAnsi="Verdana" w:cs="Verdana"/>
        </w:rPr>
        <w:t>nájemních objektů</w:t>
      </w:r>
      <w:r w:rsidRPr="00E751CB">
        <w:rPr>
          <w:rFonts w:ascii="Verdana" w:eastAsia="Verdana" w:hAnsi="Verdana" w:cs="Verdana"/>
        </w:rPr>
        <w:t xml:space="preserve"> – přiřazeným k pozemkům</w:t>
      </w:r>
    </w:p>
    <w:p w14:paraId="50392A3D" w14:textId="77777777" w:rsidR="00E751CB" w:rsidRDefault="00E751CB" w:rsidP="00733E5C">
      <w:pPr>
        <w:jc w:val="both"/>
        <w:rPr>
          <w:rFonts w:ascii="Verdana" w:eastAsia="Verdana" w:hAnsi="Verdana" w:cs="Verdana"/>
        </w:rPr>
      </w:pPr>
    </w:p>
    <w:p w14:paraId="1CAF5F28" w14:textId="3D546940" w:rsidR="00F605EF" w:rsidRDefault="00F605EF" w:rsidP="00F605EF">
      <w:pPr>
        <w:rPr>
          <w:rFonts w:asciiTheme="majorHAnsi" w:eastAsiaTheme="majorEastAsia" w:hAnsiTheme="majorHAnsi" w:cstheme="majorBidi"/>
          <w:b/>
          <w:color w:val="FF5200" w:themeColor="accent2"/>
          <w:sz w:val="32"/>
          <w:szCs w:val="32"/>
        </w:rPr>
      </w:pPr>
      <w:r>
        <w:rPr>
          <w:rFonts w:asciiTheme="majorHAnsi" w:eastAsiaTheme="majorEastAsia" w:hAnsiTheme="majorHAnsi" w:cstheme="majorBidi"/>
          <w:b/>
          <w:color w:val="FF5200" w:themeColor="accent2"/>
          <w:spacing w:val="-6"/>
          <w:sz w:val="32"/>
          <w:szCs w:val="32"/>
        </w:rPr>
        <w:t>8</w:t>
      </w:r>
      <w:r w:rsidRPr="0FFB23C9">
        <w:rPr>
          <w:rFonts w:asciiTheme="majorHAnsi" w:eastAsiaTheme="majorEastAsia" w:hAnsiTheme="majorHAnsi" w:cstheme="majorBidi"/>
          <w:b/>
          <w:color w:val="FF5200" w:themeColor="accent2"/>
          <w:spacing w:val="-6"/>
          <w:sz w:val="32"/>
          <w:szCs w:val="32"/>
        </w:rPr>
        <w:t xml:space="preserve">) </w:t>
      </w:r>
      <w:r w:rsidR="00F164CB">
        <w:rPr>
          <w:rFonts w:asciiTheme="majorHAnsi" w:eastAsiaTheme="majorEastAsia" w:hAnsiTheme="majorHAnsi" w:cstheme="majorBidi"/>
          <w:b/>
          <w:color w:val="FF5200" w:themeColor="accent2"/>
          <w:spacing w:val="-6"/>
          <w:sz w:val="32"/>
          <w:szCs w:val="32"/>
        </w:rPr>
        <w:t>Provést úpravu programů „ZREPOZ_POZ_2_CSV“ a „ZREBUD_BUD_2_CSV“</w:t>
      </w:r>
    </w:p>
    <w:p w14:paraId="0EE24532" w14:textId="3250DC40" w:rsidR="00F605EF" w:rsidRDefault="00F164CB" w:rsidP="00F605EF">
      <w:pPr>
        <w:pStyle w:val="Nadpis2"/>
      </w:pPr>
      <w:r>
        <w:t>Požadavek</w:t>
      </w:r>
    </w:p>
    <w:p w14:paraId="19854377" w14:textId="0DF42438" w:rsidR="00F605EF" w:rsidRDefault="008D51E9" w:rsidP="00F605EF">
      <w:pPr>
        <w:jc w:val="both"/>
        <w:rPr>
          <w:rFonts w:ascii="Verdana" w:eastAsia="Verdana" w:hAnsi="Verdana" w:cs="Verdana"/>
        </w:rPr>
      </w:pPr>
      <w:r>
        <w:rPr>
          <w:rFonts w:ascii="Verdana" w:eastAsia="Verdana" w:hAnsi="Verdana" w:cs="Verdana"/>
        </w:rPr>
        <w:t xml:space="preserve">Do obou programů, které vytvářejí </w:t>
      </w:r>
      <w:proofErr w:type="spellStart"/>
      <w:r>
        <w:rPr>
          <w:rFonts w:ascii="Verdana" w:eastAsia="Verdana" w:hAnsi="Verdana" w:cs="Verdana"/>
        </w:rPr>
        <w:t>csv</w:t>
      </w:r>
      <w:proofErr w:type="spellEnd"/>
      <w:r>
        <w:rPr>
          <w:rFonts w:ascii="Verdana" w:eastAsia="Verdana" w:hAnsi="Verdana" w:cs="Verdana"/>
        </w:rPr>
        <w:t xml:space="preserve"> </w:t>
      </w:r>
      <w:r w:rsidR="00E42C78">
        <w:rPr>
          <w:rFonts w:ascii="Verdana" w:eastAsia="Verdana" w:hAnsi="Verdana" w:cs="Verdana"/>
        </w:rPr>
        <w:t>s</w:t>
      </w:r>
      <w:r>
        <w:rPr>
          <w:rFonts w:ascii="Verdana" w:eastAsia="Verdana" w:hAnsi="Verdana" w:cs="Verdana"/>
        </w:rPr>
        <w:t>oubor doplnit sloupec zůstatkové hodnoty dlouhodobého majetku. Klíčem pro vyhledání aktuální karty dlouhodobého majetku je inventární číslo (mohu zobrazit SAP transakcí ZA99).</w:t>
      </w:r>
      <w:r w:rsidR="00E42C78">
        <w:rPr>
          <w:rFonts w:ascii="Verdana" w:eastAsia="Verdana" w:hAnsi="Verdana" w:cs="Verdana"/>
        </w:rPr>
        <w:t xml:space="preserve"> Oba programy již obsahují vyhledání a v </w:t>
      </w:r>
      <w:proofErr w:type="spellStart"/>
      <w:r w:rsidR="00E42C78">
        <w:rPr>
          <w:rFonts w:ascii="Verdana" w:eastAsia="Verdana" w:hAnsi="Verdana" w:cs="Verdana"/>
        </w:rPr>
        <w:t>csv</w:t>
      </w:r>
      <w:proofErr w:type="spellEnd"/>
      <w:r w:rsidR="00E42C78">
        <w:rPr>
          <w:rFonts w:ascii="Verdana" w:eastAsia="Verdana" w:hAnsi="Verdana" w:cs="Verdana"/>
        </w:rPr>
        <w:t xml:space="preserve"> souborech zobrazují inventární číslo.</w:t>
      </w:r>
    </w:p>
    <w:p w14:paraId="19B1EF19" w14:textId="765ABE38" w:rsidR="009059EB" w:rsidRDefault="009059EB" w:rsidP="00F605EF">
      <w:pPr>
        <w:jc w:val="both"/>
        <w:rPr>
          <w:rFonts w:ascii="Verdana" w:eastAsia="Verdana" w:hAnsi="Verdana" w:cs="Verdana"/>
        </w:rPr>
      </w:pPr>
      <w:r w:rsidRPr="009059EB">
        <w:rPr>
          <w:rFonts w:ascii="Verdana" w:eastAsia="Verdana" w:hAnsi="Verdana" w:cs="Verdana"/>
          <w:noProof/>
        </w:rPr>
        <w:lastRenderedPageBreak/>
        <w:drawing>
          <wp:inline distT="0" distB="0" distL="0" distR="0" wp14:anchorId="1240545F" wp14:editId="721E0107">
            <wp:extent cx="5363323" cy="2495898"/>
            <wp:effectExtent l="0" t="0" r="8890" b="0"/>
            <wp:docPr id="1708093943" name="Obrázek 1" descr="Obsah obrázku text, snímek obrazovky, displej,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093943" name="Obrázek 1" descr="Obsah obrázku text, snímek obrazovky, displej, číslo&#10;&#10;Popis byl vytvořen automaticky"/>
                    <pic:cNvPicPr/>
                  </pic:nvPicPr>
                  <pic:blipFill>
                    <a:blip r:embed="rId12"/>
                    <a:stretch>
                      <a:fillRect/>
                    </a:stretch>
                  </pic:blipFill>
                  <pic:spPr>
                    <a:xfrm>
                      <a:off x="0" y="0"/>
                      <a:ext cx="5363323" cy="2495898"/>
                    </a:xfrm>
                    <a:prstGeom prst="rect">
                      <a:avLst/>
                    </a:prstGeom>
                  </pic:spPr>
                </pic:pic>
              </a:graphicData>
            </a:graphic>
          </wp:inline>
        </w:drawing>
      </w:r>
    </w:p>
    <w:p w14:paraId="5771F4A8" w14:textId="13B2D27D" w:rsidR="00E42C78" w:rsidRPr="00733E5C" w:rsidRDefault="00E42C78" w:rsidP="00F605EF">
      <w:pPr>
        <w:jc w:val="both"/>
        <w:rPr>
          <w:rFonts w:ascii="Verdana" w:eastAsia="Verdana" w:hAnsi="Verdana" w:cs="Verdana"/>
        </w:rPr>
      </w:pPr>
      <w:r w:rsidRPr="00E42C78">
        <w:rPr>
          <w:rFonts w:ascii="Verdana" w:eastAsia="Verdana" w:hAnsi="Verdana" w:cs="Verdana"/>
          <w:noProof/>
        </w:rPr>
        <w:drawing>
          <wp:inline distT="0" distB="0" distL="0" distR="0" wp14:anchorId="4E41AEFF" wp14:editId="50FCB489">
            <wp:extent cx="3877216" cy="2162477"/>
            <wp:effectExtent l="0" t="0" r="9525" b="9525"/>
            <wp:docPr id="97152755" name="Obrázek 1"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52755" name="Obrázek 1" descr="Obsah obrázku text, snímek obrazovky, Písmo, číslo&#10;&#10;Popis byl vytvořen automaticky"/>
                    <pic:cNvPicPr/>
                  </pic:nvPicPr>
                  <pic:blipFill>
                    <a:blip r:embed="rId13"/>
                    <a:stretch>
                      <a:fillRect/>
                    </a:stretch>
                  </pic:blipFill>
                  <pic:spPr>
                    <a:xfrm>
                      <a:off x="0" y="0"/>
                      <a:ext cx="3877216" cy="2162477"/>
                    </a:xfrm>
                    <a:prstGeom prst="rect">
                      <a:avLst/>
                    </a:prstGeom>
                  </pic:spPr>
                </pic:pic>
              </a:graphicData>
            </a:graphic>
          </wp:inline>
        </w:drawing>
      </w:r>
    </w:p>
    <w:p w14:paraId="1D2E84F5" w14:textId="77777777" w:rsidR="00F605EF" w:rsidRDefault="00F605EF" w:rsidP="00733E5C">
      <w:pPr>
        <w:jc w:val="both"/>
        <w:rPr>
          <w:rFonts w:ascii="Verdana" w:eastAsia="Verdana" w:hAnsi="Verdana" w:cs="Verdana"/>
        </w:rPr>
      </w:pPr>
    </w:p>
    <w:p w14:paraId="3CEFAE2E" w14:textId="77777777" w:rsidR="00E751CB" w:rsidRDefault="00E751CB" w:rsidP="00733E5C">
      <w:pPr>
        <w:jc w:val="both"/>
        <w:rPr>
          <w:rFonts w:ascii="Verdana" w:eastAsia="Verdana" w:hAnsi="Verdana" w:cs="Verdana"/>
        </w:rPr>
      </w:pPr>
    </w:p>
    <w:p w14:paraId="10FD5CB2" w14:textId="0C792A1E" w:rsidR="001045CE" w:rsidRPr="002C0884" w:rsidRDefault="00F605EF" w:rsidP="002C0884">
      <w:pPr>
        <w:spacing w:after="0" w:line="240" w:lineRule="auto"/>
        <w:rPr>
          <w:rFonts w:asciiTheme="majorHAnsi" w:eastAsiaTheme="majorEastAsia" w:hAnsiTheme="majorHAnsi" w:cstheme="majorBidi"/>
          <w:b/>
          <w:color w:val="FF5200" w:themeColor="accent2"/>
          <w:spacing w:val="-6"/>
          <w:sz w:val="32"/>
          <w:szCs w:val="32"/>
        </w:rPr>
      </w:pPr>
      <w:r>
        <w:rPr>
          <w:rFonts w:asciiTheme="majorHAnsi" w:eastAsiaTheme="majorEastAsia" w:hAnsiTheme="majorHAnsi" w:cstheme="majorBidi"/>
          <w:b/>
          <w:color w:val="FF5200" w:themeColor="accent2"/>
          <w:spacing w:val="-6"/>
          <w:sz w:val="32"/>
          <w:szCs w:val="32"/>
        </w:rPr>
        <w:t>9</w:t>
      </w:r>
      <w:r w:rsidR="002C0884" w:rsidRPr="0FFB23C9">
        <w:rPr>
          <w:rFonts w:asciiTheme="majorHAnsi" w:eastAsiaTheme="majorEastAsia" w:hAnsiTheme="majorHAnsi" w:cstheme="majorBidi"/>
          <w:b/>
          <w:color w:val="FF5200" w:themeColor="accent2"/>
          <w:spacing w:val="-6"/>
          <w:sz w:val="32"/>
          <w:szCs w:val="32"/>
        </w:rPr>
        <w:t>) Analýza a vytvoření cílového konceptu pro nastavení ZVN služeb vztahujících se ke komerčním smlouvám a s tím související alokací přímých nákladů a nákladů na služby u neobsazených prostor</w:t>
      </w:r>
    </w:p>
    <w:p w14:paraId="1578D4A4" w14:textId="6649ED55" w:rsidR="0FFB23C9" w:rsidRDefault="0FFB23C9" w:rsidP="0FFB23C9">
      <w:pPr>
        <w:spacing w:after="0" w:line="240" w:lineRule="auto"/>
        <w:rPr>
          <w:rFonts w:asciiTheme="majorHAnsi" w:eastAsiaTheme="majorEastAsia" w:hAnsiTheme="majorHAnsi" w:cstheme="majorBidi"/>
          <w:b/>
          <w:bCs/>
          <w:color w:val="FF5200" w:themeColor="accent2"/>
          <w:sz w:val="32"/>
          <w:szCs w:val="32"/>
        </w:rPr>
      </w:pPr>
    </w:p>
    <w:p w14:paraId="11FEB9CA"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 xml:space="preserve">Principem zúčtování vedlejších nákladů (dále jen „ZVN“) je evidence určených nákladů spojených s provozem budov na zúčtovacích jednotkách a následný rozpad pomocí zúčtování na náklady interních prostor a na náklady pronajímaných prostor. Současně tak umožňuje vyúčtovat služby spojené s nájmem, a to buď placené formou záloh a následně vyúčtované skutečné spotřeby, nebo jako přefakturaci skutečně spotřebovaných nákladů k nájemní smlouvě bez předchozích plateb předem (záloh). Následně pak zaúčtuje předpis nedoplatku / přeplatku jako pohledávku nebo dobropis do finančního účetnictví. </w:t>
      </w:r>
    </w:p>
    <w:p w14:paraId="5CB28AC9" w14:textId="7AC1BA47" w:rsidR="1B8899AC" w:rsidRPr="007B6D51" w:rsidRDefault="1B8899AC" w:rsidP="007B6D51">
      <w:pPr>
        <w:jc w:val="both"/>
        <w:rPr>
          <w:rFonts w:ascii="Verdana" w:eastAsia="Verdana" w:hAnsi="Verdana" w:cs="Verdana"/>
        </w:rPr>
      </w:pPr>
      <w:r w:rsidRPr="007B6D51">
        <w:rPr>
          <w:rFonts w:ascii="Verdana" w:eastAsia="Verdana" w:hAnsi="Verdana" w:cs="Verdana"/>
        </w:rPr>
        <w:t xml:space="preserve">Vlastnímu procesu ZVN předchází evidence příslušných komodit a nákladů, které do ZVN vstupují. V některých případech je nutné z fakturovaných dodávek vody, paliv a energií oddělit neenergetickou spotřebu příslušné komodity nebo oddělit spotřebu vody, příslušného druhu paliva nebo energie do objektů cizích vlastníků přípojkami SŽ dle měřidel SŽ a re-fakturovat </w:t>
      </w:r>
      <w:r w:rsidRPr="007B6D51">
        <w:rPr>
          <w:rFonts w:ascii="Verdana" w:eastAsia="Verdana" w:hAnsi="Verdana" w:cs="Verdana"/>
        </w:rPr>
        <w:lastRenderedPageBreak/>
        <w:t xml:space="preserve">příslušné náklady. Do ZVN pak vstupuje pouze část dodané vody, plynu nebo nakoupené či vyrobené tepelné energie.  </w:t>
      </w:r>
    </w:p>
    <w:p w14:paraId="17BFFD78" w14:textId="77777777" w:rsidR="000F72E4" w:rsidRDefault="000F72E4" w:rsidP="000F72E4">
      <w:pPr>
        <w:pStyle w:val="Nadpis2"/>
      </w:pPr>
      <w:r w:rsidRPr="39C91D97">
        <w:t>Současný stav</w:t>
      </w:r>
    </w:p>
    <w:p w14:paraId="146FBD18"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ZVN je v současné době využíván pro vyúčtování služeb spojených s nájmy bytů, které jsou převážně placeny formou záloha a také odděleně pro rozúčtování přímých nákladů SŽ u vybraných budov.</w:t>
      </w:r>
    </w:p>
    <w:p w14:paraId="1DB5EEE7"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 xml:space="preserve">Znamená to, v případě bytů, že odpovědný pracovník provede ručně pro příslušnou došlou fakturu rozpad (rozúčtování) nákladů na byty a na ostatní prostory – část určená pro vyúčtování pro byty je zaúčtována na </w:t>
      </w:r>
      <w:proofErr w:type="spellStart"/>
      <w:r w:rsidRPr="005E314A">
        <w:rPr>
          <w:rFonts w:ascii="Verdana" w:eastAsia="Verdana" w:hAnsi="Verdana" w:cs="Verdana"/>
        </w:rPr>
        <w:t>ZúJ</w:t>
      </w:r>
      <w:proofErr w:type="spellEnd"/>
      <w:r w:rsidRPr="005E314A">
        <w:rPr>
          <w:rFonts w:ascii="Verdana" w:eastAsia="Verdana" w:hAnsi="Verdana" w:cs="Verdana"/>
        </w:rPr>
        <w:t xml:space="preserve"> a jeden nákladový účet 502600, zbývající část na </w:t>
      </w:r>
      <w:proofErr w:type="gramStart"/>
      <w:r w:rsidRPr="005E314A">
        <w:rPr>
          <w:rFonts w:ascii="Verdana" w:eastAsia="Verdana" w:hAnsi="Verdana" w:cs="Verdana"/>
        </w:rPr>
        <w:t>příslušnou</w:t>
      </w:r>
      <w:proofErr w:type="gramEnd"/>
      <w:r w:rsidRPr="005E314A">
        <w:rPr>
          <w:rFonts w:ascii="Verdana" w:eastAsia="Verdana" w:hAnsi="Verdana" w:cs="Verdana"/>
        </w:rPr>
        <w:t xml:space="preserve"> CO zakázku a příslušný nákladový účet. Do ZVN pak vstupuje předem vypočítaná část nákladů spotřebovaná nájemníky a dochází k rozpadu na jednotlivé zúčastněné nájemní smlouvy.</w:t>
      </w:r>
    </w:p>
    <w:p w14:paraId="679ADBB2" w14:textId="1C473DD7" w:rsidR="005E314A" w:rsidRPr="005E314A" w:rsidRDefault="005E314A" w:rsidP="005E314A">
      <w:pPr>
        <w:jc w:val="both"/>
        <w:rPr>
          <w:rFonts w:ascii="Verdana" w:eastAsia="Verdana" w:hAnsi="Verdana" w:cs="Verdana"/>
        </w:rPr>
      </w:pPr>
      <w:r w:rsidRPr="005E314A">
        <w:rPr>
          <w:rFonts w:ascii="Verdana" w:eastAsia="Verdana" w:hAnsi="Verdana" w:cs="Verdana"/>
        </w:rPr>
        <w:t xml:space="preserve">Doklady o měření jsou </w:t>
      </w:r>
      <w:r w:rsidR="00276BD1">
        <w:rPr>
          <w:rFonts w:ascii="Verdana" w:eastAsia="Verdana" w:hAnsi="Verdana" w:cs="Verdana"/>
        </w:rPr>
        <w:t>„</w:t>
      </w:r>
      <w:r w:rsidR="3A494F53" w:rsidRPr="00276BD1">
        <w:rPr>
          <w:rFonts w:ascii="Verdana" w:eastAsia="Verdana" w:hAnsi="Verdana" w:cs="Verdana"/>
        </w:rPr>
        <w:t>ručně</w:t>
      </w:r>
      <w:r w:rsidR="00276BD1">
        <w:rPr>
          <w:rFonts w:ascii="Verdana" w:eastAsia="Verdana" w:hAnsi="Verdana" w:cs="Verdana"/>
        </w:rPr>
        <w:t>“</w:t>
      </w:r>
      <w:r w:rsidR="3A494F53" w:rsidRPr="2FC8C811">
        <w:rPr>
          <w:rFonts w:ascii="Verdana" w:eastAsia="Verdana" w:hAnsi="Verdana" w:cs="Verdana"/>
        </w:rPr>
        <w:t xml:space="preserve"> </w:t>
      </w:r>
      <w:r w:rsidRPr="005E314A">
        <w:rPr>
          <w:rFonts w:ascii="Verdana" w:eastAsia="Verdana" w:hAnsi="Verdana" w:cs="Verdana"/>
        </w:rPr>
        <w:t>zadávány k bodům měření vedených na nájemních objektech. Aktuálně jsou hodnoty měření (odečty) pořizovány k 31.12. příslušného roku pro bytové NO.</w:t>
      </w:r>
    </w:p>
    <w:p w14:paraId="3AEB3C51" w14:textId="42F12BED" w:rsidR="005E314A" w:rsidRPr="005E314A" w:rsidRDefault="005E314A" w:rsidP="005E314A">
      <w:pPr>
        <w:jc w:val="both"/>
        <w:rPr>
          <w:rFonts w:ascii="Verdana" w:eastAsia="Verdana" w:hAnsi="Verdana" w:cs="Verdana"/>
        </w:rPr>
      </w:pPr>
      <w:r w:rsidRPr="005E314A">
        <w:rPr>
          <w:rFonts w:ascii="Verdana" w:eastAsia="Verdana" w:hAnsi="Verdana" w:cs="Verdana"/>
        </w:rPr>
        <w:t xml:space="preserve">V případě přímých nákladů (účty 511*) je celá faktura kontována na příslušnou </w:t>
      </w:r>
      <w:proofErr w:type="spellStart"/>
      <w:r w:rsidRPr="005E314A">
        <w:rPr>
          <w:rFonts w:ascii="Verdana" w:eastAsia="Verdana" w:hAnsi="Verdana" w:cs="Verdana"/>
        </w:rPr>
        <w:t>ZúJ</w:t>
      </w:r>
      <w:proofErr w:type="spellEnd"/>
      <w:r w:rsidRPr="005E314A">
        <w:rPr>
          <w:rFonts w:ascii="Verdana" w:eastAsia="Verdana" w:hAnsi="Verdana" w:cs="Verdana"/>
        </w:rPr>
        <w:t xml:space="preserve"> a dále pak je provedeno pomocí ZVN rozúčtování na nájemní objekty. Probíhá jednou měsíčně. Dále pak dochází ke zúčtování nákladů z NO na </w:t>
      </w:r>
      <w:proofErr w:type="gramStart"/>
      <w:r w:rsidR="000347FB" w:rsidRPr="005E314A">
        <w:rPr>
          <w:rFonts w:ascii="Verdana" w:eastAsia="Verdana" w:hAnsi="Verdana" w:cs="Verdana"/>
        </w:rPr>
        <w:t>interní</w:t>
      </w:r>
      <w:proofErr w:type="gramEnd"/>
      <w:r w:rsidRPr="005E314A">
        <w:rPr>
          <w:rFonts w:ascii="Verdana" w:eastAsia="Verdana" w:hAnsi="Verdana" w:cs="Verdana"/>
        </w:rPr>
        <w:t xml:space="preserve"> CO zakázku.</w:t>
      </w:r>
    </w:p>
    <w:p w14:paraId="6D75C48B"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Zúčtovací proces na základě stanového schématu zúčtování, pro zadané zúčtovací jednotky a období zúčtování. Proces je spouštěn hromadně – lze provést simulaci a následně reálný běh.</w:t>
      </w:r>
    </w:p>
    <w:p w14:paraId="5A01EF85"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Zúčtování v současném systému probíhá pro:</w:t>
      </w:r>
    </w:p>
    <w:p w14:paraId="174EB83B" w14:textId="105F144E" w:rsidR="005E314A" w:rsidRPr="00566158" w:rsidRDefault="005E314A" w:rsidP="00566158">
      <w:pPr>
        <w:pStyle w:val="Odstavecseseznamem"/>
        <w:numPr>
          <w:ilvl w:val="0"/>
          <w:numId w:val="4"/>
        </w:numPr>
        <w:spacing w:after="0" w:line="257" w:lineRule="auto"/>
        <w:ind w:left="714" w:hanging="357"/>
        <w:jc w:val="both"/>
        <w:rPr>
          <w:rFonts w:ascii="Verdana" w:eastAsia="Verdana" w:hAnsi="Verdana" w:cs="Verdana"/>
          <w:sz w:val="20"/>
          <w:szCs w:val="20"/>
        </w:rPr>
      </w:pPr>
      <w:r w:rsidRPr="00566158">
        <w:rPr>
          <w:rFonts w:ascii="Verdana" w:eastAsia="Verdana" w:hAnsi="Verdana" w:cs="Verdana"/>
          <w:sz w:val="20"/>
          <w:szCs w:val="20"/>
        </w:rPr>
        <w:t xml:space="preserve">Vyúčtování služeb spojených s nájmem bytů </w:t>
      </w:r>
    </w:p>
    <w:p w14:paraId="41FE6D06" w14:textId="2A9AA929" w:rsidR="005E314A" w:rsidRPr="00566158" w:rsidRDefault="005E314A" w:rsidP="00566158">
      <w:pPr>
        <w:pStyle w:val="Odstavecseseznamem"/>
        <w:numPr>
          <w:ilvl w:val="0"/>
          <w:numId w:val="4"/>
        </w:numPr>
        <w:spacing w:after="0" w:line="257" w:lineRule="auto"/>
        <w:ind w:left="714" w:hanging="357"/>
        <w:jc w:val="both"/>
        <w:rPr>
          <w:rFonts w:ascii="Verdana" w:eastAsia="Verdana" w:hAnsi="Verdana" w:cs="Verdana"/>
          <w:sz w:val="20"/>
          <w:szCs w:val="20"/>
        </w:rPr>
      </w:pPr>
      <w:r w:rsidRPr="00566158">
        <w:rPr>
          <w:rFonts w:ascii="Verdana" w:eastAsia="Verdana" w:hAnsi="Verdana" w:cs="Verdana"/>
          <w:sz w:val="20"/>
          <w:szCs w:val="20"/>
        </w:rPr>
        <w:t>Rozúčtování přímých nákladů</w:t>
      </w:r>
    </w:p>
    <w:p w14:paraId="2F4370E1" w14:textId="77777777" w:rsidR="00566158" w:rsidRDefault="00566158" w:rsidP="005E314A">
      <w:pPr>
        <w:jc w:val="both"/>
        <w:rPr>
          <w:rFonts w:ascii="Verdana" w:eastAsia="Verdana" w:hAnsi="Verdana" w:cs="Verdana"/>
        </w:rPr>
      </w:pPr>
    </w:p>
    <w:p w14:paraId="58A964DB" w14:textId="7A200FB2" w:rsidR="005E314A" w:rsidRPr="005E314A" w:rsidRDefault="005E314A" w:rsidP="005E314A">
      <w:pPr>
        <w:jc w:val="both"/>
        <w:rPr>
          <w:rFonts w:ascii="Verdana" w:eastAsia="Verdana" w:hAnsi="Verdana" w:cs="Verdana"/>
        </w:rPr>
      </w:pPr>
      <w:r w:rsidRPr="005E314A">
        <w:rPr>
          <w:rFonts w:ascii="Verdana" w:eastAsia="Verdana" w:hAnsi="Verdana" w:cs="Verdana"/>
        </w:rPr>
        <w:t xml:space="preserve">V obou případech je využíván standardní proces ZVN, </w:t>
      </w:r>
      <w:r w:rsidR="000347FB" w:rsidRPr="005E314A">
        <w:rPr>
          <w:rFonts w:ascii="Verdana" w:eastAsia="Verdana" w:hAnsi="Verdana" w:cs="Verdana"/>
        </w:rPr>
        <w:t>tj.</w:t>
      </w:r>
      <w:r w:rsidRPr="005E314A">
        <w:rPr>
          <w:rFonts w:ascii="Verdana" w:eastAsia="Verdana" w:hAnsi="Verdana" w:cs="Verdana"/>
        </w:rPr>
        <w:t xml:space="preserve"> zúčtování pomocí transakce RESCSE. Při výběru zúčtovacích jednotek pro zúčtování jsou z důvodu číselných duplicit využívány sady, pomocí kterých je zajištěno načtení relevantních </w:t>
      </w:r>
      <w:proofErr w:type="spellStart"/>
      <w:r w:rsidRPr="005E314A">
        <w:rPr>
          <w:rFonts w:ascii="Verdana" w:eastAsia="Verdana" w:hAnsi="Verdana" w:cs="Verdana"/>
        </w:rPr>
        <w:t>ZúJ</w:t>
      </w:r>
      <w:proofErr w:type="spellEnd"/>
      <w:r w:rsidRPr="005E314A">
        <w:rPr>
          <w:rFonts w:ascii="Verdana" w:eastAsia="Verdana" w:hAnsi="Verdana" w:cs="Verdana"/>
        </w:rPr>
        <w:t xml:space="preserve"> podle HJ a klíče vedlejších nákladů. Tento způsob bude nutné zachovat, protože jedinečnost čísla </w:t>
      </w:r>
      <w:proofErr w:type="spellStart"/>
      <w:r w:rsidRPr="005E314A">
        <w:rPr>
          <w:rFonts w:ascii="Verdana" w:eastAsia="Verdana" w:hAnsi="Verdana" w:cs="Verdana"/>
        </w:rPr>
        <w:t>ZúJ</w:t>
      </w:r>
      <w:proofErr w:type="spellEnd"/>
      <w:r w:rsidRPr="005E314A">
        <w:rPr>
          <w:rFonts w:ascii="Verdana" w:eastAsia="Verdana" w:hAnsi="Verdana" w:cs="Verdana"/>
        </w:rPr>
        <w:t xml:space="preserve"> bude pouze ve vazbě na KVN, není možné zajistit napříč celým účetním okruhem.</w:t>
      </w:r>
    </w:p>
    <w:p w14:paraId="758F120D"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Kromě tepla jsou nyní všechny druhy nákladů účtovány přímo v modulu FI na zakázku.</w:t>
      </w:r>
    </w:p>
    <w:p w14:paraId="0CB47D87"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Rozsah služeb, resp. komodit vstupujících do ZVN pro komerční nájmy by měl být shodný s komoditami pro bytové nájmy – KVN 8001 až 8016.</w:t>
      </w:r>
    </w:p>
    <w:p w14:paraId="034060D0"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 xml:space="preserve">Jednotlivé komodity jsou rozúčtovány na základě jednotek vedených na úrovni cílového nájemního objektu. Jednotky rozúčtování jsou evidovány jako </w:t>
      </w:r>
    </w:p>
    <w:p w14:paraId="57CECAF3" w14:textId="5C35B002" w:rsidR="005E314A" w:rsidRPr="00D87ACB" w:rsidRDefault="005E314A" w:rsidP="00D87ACB">
      <w:pPr>
        <w:pStyle w:val="Odstavecseseznamem"/>
        <w:numPr>
          <w:ilvl w:val="0"/>
          <w:numId w:val="4"/>
        </w:numPr>
        <w:spacing w:after="0" w:line="257" w:lineRule="auto"/>
        <w:ind w:left="714" w:hanging="357"/>
        <w:jc w:val="both"/>
        <w:rPr>
          <w:rFonts w:ascii="Verdana" w:eastAsia="Verdana" w:hAnsi="Verdana" w:cs="Verdana"/>
          <w:sz w:val="20"/>
          <w:szCs w:val="20"/>
        </w:rPr>
      </w:pPr>
      <w:r w:rsidRPr="00D87ACB">
        <w:rPr>
          <w:rFonts w:ascii="Verdana" w:eastAsia="Verdana" w:hAnsi="Verdana" w:cs="Verdana"/>
          <w:sz w:val="20"/>
          <w:szCs w:val="20"/>
        </w:rPr>
        <w:t>druh vyměření – výška místnosti, podlahová plocha, započitatelná podlahová plocha, počet osob, koeficient plochy, kde jsou hodnoty vedeny s časovou závislostí</w:t>
      </w:r>
    </w:p>
    <w:p w14:paraId="334CBFBF" w14:textId="12AE1957" w:rsidR="005E314A" w:rsidRPr="00D87ACB" w:rsidRDefault="005E314A" w:rsidP="00D87ACB">
      <w:pPr>
        <w:pStyle w:val="Odstavecseseznamem"/>
        <w:numPr>
          <w:ilvl w:val="0"/>
          <w:numId w:val="4"/>
        </w:numPr>
        <w:spacing w:after="0" w:line="257" w:lineRule="auto"/>
        <w:ind w:left="714" w:hanging="357"/>
        <w:jc w:val="both"/>
        <w:rPr>
          <w:rFonts w:ascii="Verdana" w:eastAsia="Verdana" w:hAnsi="Verdana" w:cs="Verdana"/>
          <w:sz w:val="20"/>
          <w:szCs w:val="20"/>
        </w:rPr>
      </w:pPr>
      <w:r w:rsidRPr="00D87ACB">
        <w:rPr>
          <w:rFonts w:ascii="Verdana" w:eastAsia="Verdana" w:hAnsi="Verdana" w:cs="Verdana"/>
          <w:sz w:val="20"/>
          <w:szCs w:val="20"/>
        </w:rPr>
        <w:t>čítač = měřidlo, resp. odečty měření k danému datu</w:t>
      </w:r>
    </w:p>
    <w:p w14:paraId="2264C959" w14:textId="3C0EE590" w:rsidR="005E314A" w:rsidRPr="00D87ACB" w:rsidRDefault="005E314A" w:rsidP="00D87ACB">
      <w:pPr>
        <w:pStyle w:val="Odstavecseseznamem"/>
        <w:numPr>
          <w:ilvl w:val="0"/>
          <w:numId w:val="4"/>
        </w:numPr>
        <w:spacing w:after="0" w:line="257" w:lineRule="auto"/>
        <w:ind w:left="714" w:hanging="357"/>
        <w:jc w:val="both"/>
        <w:rPr>
          <w:rFonts w:ascii="Verdana" w:eastAsia="Verdana" w:hAnsi="Verdana" w:cs="Verdana"/>
          <w:sz w:val="20"/>
          <w:szCs w:val="20"/>
        </w:rPr>
      </w:pPr>
      <w:r w:rsidRPr="00D87ACB">
        <w:rPr>
          <w:rFonts w:ascii="Verdana" w:eastAsia="Verdana" w:hAnsi="Verdana" w:cs="Verdana"/>
          <w:sz w:val="20"/>
          <w:szCs w:val="20"/>
        </w:rPr>
        <w:t>procento nebo ekvivalentní číslo</w:t>
      </w:r>
    </w:p>
    <w:p w14:paraId="0F8D0F56"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 xml:space="preserve">Parametry a princip rozúčtování je individuální pro každý objekt a každý KVN. Znamená to, že pro každý objekt musí příslušný uživatel stanovit skupiny účasti, </w:t>
      </w:r>
      <w:proofErr w:type="spellStart"/>
      <w:r w:rsidRPr="005E314A">
        <w:rPr>
          <w:rFonts w:ascii="Verdana" w:eastAsia="Verdana" w:hAnsi="Verdana" w:cs="Verdana"/>
        </w:rPr>
        <w:t>ZúJ</w:t>
      </w:r>
      <w:proofErr w:type="spellEnd"/>
      <w:r w:rsidRPr="005E314A">
        <w:rPr>
          <w:rFonts w:ascii="Verdana" w:eastAsia="Verdana" w:hAnsi="Verdana" w:cs="Verdana"/>
        </w:rPr>
        <w:t>, jednotky rozúčtování manuálně.</w:t>
      </w:r>
    </w:p>
    <w:p w14:paraId="31920BF8"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Pro komerční smlouvy je celý proces rozúčtování a vyúčtování mimo systém SAP, perioda je závislá na obdržení faktury od dodavatele služeb. Část nákladů, která je určena k vyúčtování je zaúčtována v rámci likvidace faktury na účet přefakturace 315* a následně je vystavena faktura na odběratele – vystavena je v modulu FI.</w:t>
      </w:r>
    </w:p>
    <w:p w14:paraId="4AE1E5A3" w14:textId="7CD669C6" w:rsidR="005E314A" w:rsidRPr="005E314A" w:rsidRDefault="005E314A" w:rsidP="005E314A">
      <w:pPr>
        <w:jc w:val="both"/>
        <w:rPr>
          <w:rFonts w:ascii="Verdana" w:eastAsia="Verdana" w:hAnsi="Verdana" w:cs="Verdana"/>
        </w:rPr>
      </w:pPr>
      <w:r w:rsidRPr="005E314A">
        <w:rPr>
          <w:rFonts w:ascii="Verdana" w:eastAsia="Verdana" w:hAnsi="Verdana" w:cs="Verdana"/>
        </w:rPr>
        <w:lastRenderedPageBreak/>
        <w:t>Spotřeba komerčních nájemců nebo dodávky komodit do cizích objektů jsou tedy účtovány mimo výsledovku.</w:t>
      </w:r>
    </w:p>
    <w:p w14:paraId="57336F10"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Korespondence zahrnuje tisk vyúčtování služeb pro byty. Využívá se transakce ZRECPA550, která je upravená pro zadání údajů pro tisk průvodního dopisu.</w:t>
      </w:r>
    </w:p>
    <w:p w14:paraId="6066C5FF" w14:textId="77777777" w:rsidR="000F72E4" w:rsidRPr="009C2CE9" w:rsidRDefault="000F72E4" w:rsidP="000F72E4">
      <w:pPr>
        <w:pStyle w:val="Nadpis2"/>
        <w:spacing w:before="200" w:line="276" w:lineRule="auto"/>
        <w:jc w:val="both"/>
      </w:pPr>
      <w:r w:rsidRPr="48B0091B">
        <w:rPr>
          <w:rFonts w:ascii="Verdana" w:eastAsia="Verdana" w:hAnsi="Verdana" w:cs="Verdana"/>
          <w:bCs/>
          <w:color w:val="4F81BD"/>
          <w:sz w:val="26"/>
          <w:szCs w:val="26"/>
        </w:rPr>
        <w:t>Požadavek</w:t>
      </w:r>
    </w:p>
    <w:p w14:paraId="745082FC" w14:textId="1CF432A2" w:rsidR="005E314A" w:rsidRPr="00EC6651" w:rsidRDefault="005E314A" w:rsidP="00EC6651">
      <w:pPr>
        <w:pStyle w:val="Odstavecseseznamem"/>
        <w:numPr>
          <w:ilvl w:val="0"/>
          <w:numId w:val="27"/>
        </w:numPr>
        <w:jc w:val="both"/>
        <w:rPr>
          <w:rFonts w:ascii="Verdana" w:eastAsia="Verdana" w:hAnsi="Verdana" w:cs="Verdana"/>
        </w:rPr>
      </w:pPr>
      <w:r w:rsidRPr="00EC6651">
        <w:rPr>
          <w:rFonts w:ascii="Verdana" w:eastAsia="Verdana" w:hAnsi="Verdana" w:cs="Verdana"/>
        </w:rPr>
        <w:t xml:space="preserve">Provést analýzu a vytvořit cílový koncept pro rozšíření současného stavu o </w:t>
      </w:r>
      <w:r w:rsidR="59F8B5BA" w:rsidRPr="00EC6651">
        <w:rPr>
          <w:rFonts w:ascii="Verdana" w:eastAsia="Verdana" w:hAnsi="Verdana" w:cs="Verdana"/>
        </w:rPr>
        <w:t xml:space="preserve">rozúčtování a </w:t>
      </w:r>
      <w:r w:rsidRPr="00EC6651">
        <w:rPr>
          <w:rFonts w:ascii="Verdana" w:eastAsia="Verdana" w:hAnsi="Verdana" w:cs="Verdana"/>
        </w:rPr>
        <w:t>vyúčtování služeb spojených s nájmem i pro oblast komerčních nájmů včetně alokace nákladů na služby u interně využívaných prostor.</w:t>
      </w:r>
    </w:p>
    <w:p w14:paraId="4FBDEB9E" w14:textId="561E3D58" w:rsidR="005E314A" w:rsidRPr="005E314A" w:rsidRDefault="005E314A" w:rsidP="005E314A">
      <w:pPr>
        <w:jc w:val="both"/>
        <w:rPr>
          <w:rFonts w:ascii="Verdana" w:eastAsia="Verdana" w:hAnsi="Verdana" w:cs="Verdana"/>
        </w:rPr>
      </w:pPr>
      <w:r w:rsidRPr="005E314A">
        <w:rPr>
          <w:rFonts w:ascii="Verdana" w:eastAsia="Verdana" w:hAnsi="Verdana" w:cs="Verdana"/>
        </w:rPr>
        <w:t xml:space="preserve">Cílem požadavku je využít vytvořený cílový koncept pro zadání </w:t>
      </w:r>
      <w:r w:rsidRPr="001318E4">
        <w:rPr>
          <w:rFonts w:ascii="Verdana" w:eastAsia="Verdana" w:hAnsi="Verdana" w:cs="Verdana"/>
        </w:rPr>
        <w:t xml:space="preserve">rozšíření nastavení stávajícího využití funkcionality ZVN </w:t>
      </w:r>
      <w:r w:rsidRPr="005E314A">
        <w:rPr>
          <w:rFonts w:ascii="Verdana" w:eastAsia="Verdana" w:hAnsi="Verdana" w:cs="Verdana"/>
        </w:rPr>
        <w:t xml:space="preserve">o </w:t>
      </w:r>
      <w:r w:rsidR="2185E3BA" w:rsidRPr="00886F69">
        <w:rPr>
          <w:rFonts w:ascii="Verdana" w:eastAsia="Verdana" w:hAnsi="Verdana" w:cs="Verdana"/>
        </w:rPr>
        <w:t>rozúčtování a</w:t>
      </w:r>
      <w:r w:rsidR="2185E3BA" w:rsidRPr="2FC8C811">
        <w:rPr>
          <w:rFonts w:ascii="Verdana" w:eastAsia="Verdana" w:hAnsi="Verdana" w:cs="Verdana"/>
        </w:rPr>
        <w:t xml:space="preserve"> </w:t>
      </w:r>
      <w:r w:rsidRPr="005E314A">
        <w:rPr>
          <w:rFonts w:ascii="Verdana" w:eastAsia="Verdana" w:hAnsi="Verdana" w:cs="Verdana"/>
        </w:rPr>
        <w:t>vyúčtování služeb spojených s nájmem i pro komerční a vnitropodnikové prostory, což znamená de facto řešení kompletního rozúčtování nákladů na prostory v rámci této funkcionality, vč. interní prostory užívané SŽ. Základním předpokladem pro jednotné vyúčtování nákladů je sjednocení periody vyúčtování. Bude zavedena roční perioda vyúčtování pro interní náklady, smlouvy na byty i komerce. ZVN by mělo být nastaveno stejným způsobem pro všechny typy komodit. Rozšířit o komoditu klimatizace a vzduchotechnika</w:t>
      </w:r>
      <w:r w:rsidR="02BD8DB7" w:rsidRPr="728B4640">
        <w:rPr>
          <w:rFonts w:ascii="Verdana" w:eastAsia="Verdana" w:hAnsi="Verdana" w:cs="Verdana"/>
        </w:rPr>
        <w:t xml:space="preserve"> </w:t>
      </w:r>
      <w:r w:rsidR="02BD8DB7" w:rsidRPr="007D1DB5">
        <w:rPr>
          <w:rFonts w:ascii="Verdana" w:eastAsia="Verdana" w:hAnsi="Verdana" w:cs="Verdana"/>
        </w:rPr>
        <w:t>(</w:t>
      </w:r>
      <w:r w:rsidR="007D1DB5" w:rsidRPr="007D1DB5">
        <w:rPr>
          <w:rFonts w:ascii="Verdana" w:eastAsia="Verdana" w:hAnsi="Verdana" w:cs="Verdana"/>
        </w:rPr>
        <w:t xml:space="preserve">navrhnout </w:t>
      </w:r>
      <w:r w:rsidR="004226C9" w:rsidRPr="007D1DB5">
        <w:rPr>
          <w:rFonts w:ascii="Verdana" w:eastAsia="Verdana" w:hAnsi="Verdana" w:cs="Verdana"/>
        </w:rPr>
        <w:t>metod</w:t>
      </w:r>
      <w:r w:rsidR="007D1DB5" w:rsidRPr="007D1DB5">
        <w:rPr>
          <w:rFonts w:ascii="Verdana" w:eastAsia="Verdana" w:hAnsi="Verdana" w:cs="Verdana"/>
        </w:rPr>
        <w:t>u</w:t>
      </w:r>
      <w:r w:rsidR="004226C9" w:rsidRPr="007D1DB5">
        <w:rPr>
          <w:rFonts w:ascii="Verdana" w:eastAsia="Verdana" w:hAnsi="Verdana" w:cs="Verdana"/>
        </w:rPr>
        <w:t xml:space="preserve"> rozšiřování počtu komodit</w:t>
      </w:r>
      <w:r w:rsidR="02BD8DB7" w:rsidRPr="007D1DB5">
        <w:rPr>
          <w:rFonts w:ascii="Verdana" w:eastAsia="Verdana" w:hAnsi="Verdana" w:cs="Verdana"/>
        </w:rPr>
        <w:t>)</w:t>
      </w:r>
      <w:r w:rsidRPr="728B4640">
        <w:rPr>
          <w:rFonts w:ascii="Verdana" w:eastAsia="Verdana" w:hAnsi="Verdana" w:cs="Verdana"/>
        </w:rPr>
        <w:t>.</w:t>
      </w:r>
    </w:p>
    <w:p w14:paraId="4404DFCB" w14:textId="7BFA7216" w:rsidR="005E314A" w:rsidRPr="009A02FA" w:rsidRDefault="005E314A" w:rsidP="009A02FA">
      <w:pPr>
        <w:pStyle w:val="Odstavecseseznamem"/>
        <w:numPr>
          <w:ilvl w:val="0"/>
          <w:numId w:val="18"/>
        </w:numPr>
        <w:jc w:val="both"/>
        <w:rPr>
          <w:rFonts w:ascii="Verdana" w:eastAsia="Verdana" w:hAnsi="Verdana" w:cs="Verdana"/>
        </w:rPr>
      </w:pPr>
      <w:r w:rsidRPr="009A02FA">
        <w:rPr>
          <w:rFonts w:ascii="Verdana" w:eastAsia="Verdana" w:hAnsi="Verdana" w:cs="Verdana"/>
        </w:rPr>
        <w:t>Nadále by měla být využita transakce RESCSE pro zúčtování, nově požadujeme využít možnost úpravy záloh podle skutečné spotřeby.</w:t>
      </w:r>
    </w:p>
    <w:p w14:paraId="0A0A4EF5" w14:textId="0AC9917A" w:rsidR="005E314A" w:rsidRPr="009A02FA" w:rsidRDefault="005E314A" w:rsidP="009A02FA">
      <w:pPr>
        <w:pStyle w:val="Odstavecseseznamem"/>
        <w:numPr>
          <w:ilvl w:val="0"/>
          <w:numId w:val="18"/>
        </w:numPr>
        <w:jc w:val="both"/>
        <w:rPr>
          <w:rFonts w:ascii="Verdana" w:eastAsia="Verdana" w:hAnsi="Verdana" w:cs="Verdana"/>
        </w:rPr>
      </w:pPr>
      <w:r w:rsidRPr="009A02FA">
        <w:rPr>
          <w:rFonts w:ascii="Verdana" w:eastAsia="Verdana" w:hAnsi="Verdana" w:cs="Verdana"/>
        </w:rPr>
        <w:t>Rozšíření nesmí zasáhnout do oblasti rozúčtování přímých nákladů SŽ pomocí KVN 1000, kterým je zajišťován rozpad nákladů oprav a údržby (nákladové druhy 511*).</w:t>
      </w:r>
    </w:p>
    <w:p w14:paraId="02C9715C" w14:textId="1BD34965" w:rsidR="005E314A" w:rsidRPr="009A02FA" w:rsidRDefault="005E314A" w:rsidP="009A02FA">
      <w:pPr>
        <w:pStyle w:val="Odstavecseseznamem"/>
        <w:numPr>
          <w:ilvl w:val="0"/>
          <w:numId w:val="18"/>
        </w:numPr>
        <w:jc w:val="both"/>
        <w:rPr>
          <w:rFonts w:ascii="Verdana" w:eastAsia="Verdana" w:hAnsi="Verdana" w:cs="Verdana"/>
        </w:rPr>
      </w:pPr>
      <w:r w:rsidRPr="009A02FA">
        <w:rPr>
          <w:rFonts w:ascii="Verdana" w:eastAsia="Verdana" w:hAnsi="Verdana" w:cs="Verdana"/>
        </w:rPr>
        <w:t xml:space="preserve">Došlá faktura by měla být účtována na příslušné nákladové účty s přiřazením </w:t>
      </w:r>
      <w:proofErr w:type="spellStart"/>
      <w:r w:rsidRPr="009A02FA">
        <w:rPr>
          <w:rFonts w:ascii="Verdana" w:eastAsia="Verdana" w:hAnsi="Verdana" w:cs="Verdana"/>
        </w:rPr>
        <w:t>ZúJ</w:t>
      </w:r>
      <w:proofErr w:type="spellEnd"/>
      <w:r w:rsidRPr="009A02FA">
        <w:rPr>
          <w:rFonts w:ascii="Verdana" w:eastAsia="Verdana" w:hAnsi="Verdana" w:cs="Verdana"/>
        </w:rPr>
        <w:t>, nebo provedené rozdělení na část pro vyúčtování a na část interních nákladů.</w:t>
      </w:r>
    </w:p>
    <w:p w14:paraId="6B88257B" w14:textId="39FD5D93" w:rsidR="5FCC27B4" w:rsidRPr="009245D2" w:rsidRDefault="5FCC27B4" w:rsidP="2FC8C811">
      <w:pPr>
        <w:pStyle w:val="Odstavecseseznamem"/>
        <w:numPr>
          <w:ilvl w:val="0"/>
          <w:numId w:val="18"/>
        </w:numPr>
        <w:jc w:val="both"/>
        <w:rPr>
          <w:rFonts w:ascii="Verdana" w:eastAsia="Verdana" w:hAnsi="Verdana" w:cs="Verdana"/>
        </w:rPr>
      </w:pPr>
      <w:r w:rsidRPr="2FC8C811">
        <w:rPr>
          <w:rFonts w:ascii="Verdana" w:eastAsia="Verdana" w:hAnsi="Verdana" w:cs="Verdana"/>
        </w:rPr>
        <w:t xml:space="preserve">Rozúčtování služeb většinou zahrnuje </w:t>
      </w:r>
      <w:r w:rsidR="5BE49991" w:rsidRPr="009245D2">
        <w:rPr>
          <w:rFonts w:ascii="Verdana" w:eastAsia="Verdana" w:hAnsi="Verdana" w:cs="Verdana"/>
        </w:rPr>
        <w:t xml:space="preserve">rozúčtování tepla, </w:t>
      </w:r>
      <w:r w:rsidR="34EB3DAF" w:rsidRPr="009245D2">
        <w:rPr>
          <w:rFonts w:ascii="Verdana" w:eastAsia="Verdana" w:hAnsi="Verdana" w:cs="Verdana"/>
        </w:rPr>
        <w:t xml:space="preserve">pro </w:t>
      </w:r>
      <w:r w:rsidR="5BE49991" w:rsidRPr="009245D2">
        <w:rPr>
          <w:rFonts w:ascii="Verdana" w:eastAsia="Verdana" w:hAnsi="Verdana" w:cs="Verdana"/>
        </w:rPr>
        <w:t>které však</w:t>
      </w:r>
      <w:r w:rsidR="262B4782" w:rsidRPr="009245D2">
        <w:rPr>
          <w:rFonts w:ascii="Verdana" w:eastAsia="Verdana" w:hAnsi="Verdana" w:cs="Verdana"/>
        </w:rPr>
        <w:t xml:space="preserve"> nejsou </w:t>
      </w:r>
      <w:r w:rsidR="14443646" w:rsidRPr="009245D2">
        <w:rPr>
          <w:rFonts w:ascii="Verdana" w:eastAsia="Verdana" w:hAnsi="Verdana" w:cs="Verdana"/>
        </w:rPr>
        <w:t xml:space="preserve">v SAP-RE </w:t>
      </w:r>
      <w:r w:rsidR="262B4782" w:rsidRPr="009245D2">
        <w:rPr>
          <w:rFonts w:ascii="Verdana" w:eastAsia="Verdana" w:hAnsi="Verdana" w:cs="Verdana"/>
        </w:rPr>
        <w:t>nastaveny</w:t>
      </w:r>
      <w:r w:rsidR="6A307A6A" w:rsidRPr="009245D2">
        <w:rPr>
          <w:rFonts w:ascii="Verdana" w:eastAsia="Verdana" w:hAnsi="Verdana" w:cs="Verdana"/>
        </w:rPr>
        <w:t xml:space="preserve"> v plném rozsahu </w:t>
      </w:r>
      <w:r w:rsidR="262B4782" w:rsidRPr="009245D2">
        <w:rPr>
          <w:rFonts w:ascii="Verdana" w:eastAsia="Verdana" w:hAnsi="Verdana" w:cs="Verdana"/>
        </w:rPr>
        <w:t>funkcionality</w:t>
      </w:r>
      <w:r w:rsidR="0F1B4A0C" w:rsidRPr="009245D2">
        <w:rPr>
          <w:rFonts w:ascii="Verdana" w:eastAsia="Verdana" w:hAnsi="Verdana" w:cs="Verdana"/>
        </w:rPr>
        <w:t xml:space="preserve"> </w:t>
      </w:r>
      <w:r w:rsidR="33B5E30F" w:rsidRPr="009245D2">
        <w:rPr>
          <w:rFonts w:ascii="Verdana" w:eastAsia="Verdana" w:hAnsi="Verdana" w:cs="Verdana"/>
        </w:rPr>
        <w:t>a parametry</w:t>
      </w:r>
      <w:r w:rsidR="53CB71E9" w:rsidRPr="009245D2">
        <w:rPr>
          <w:rFonts w:ascii="Verdana" w:eastAsia="Verdana" w:hAnsi="Verdana" w:cs="Verdana"/>
        </w:rPr>
        <w:t>,</w:t>
      </w:r>
      <w:r w:rsidR="14FCE070" w:rsidRPr="009245D2">
        <w:rPr>
          <w:rFonts w:ascii="Verdana" w:eastAsia="Verdana" w:hAnsi="Verdana" w:cs="Verdana"/>
        </w:rPr>
        <w:t xml:space="preserve"> na jejichž základě dochází ke konečnému rozúčtování a vyúčtování odběratelům služeb</w:t>
      </w:r>
      <w:r w:rsidR="3316066F" w:rsidRPr="009245D2">
        <w:rPr>
          <w:rFonts w:ascii="Verdana" w:eastAsia="Verdana" w:hAnsi="Verdana" w:cs="Verdana"/>
        </w:rPr>
        <w:t>,</w:t>
      </w:r>
      <w:r w:rsidR="2AD5E78C" w:rsidRPr="009245D2">
        <w:rPr>
          <w:rFonts w:ascii="Verdana" w:eastAsia="Verdana" w:hAnsi="Verdana" w:cs="Verdana"/>
        </w:rPr>
        <w:t xml:space="preserve"> v souladu s platnou legislativou</w:t>
      </w:r>
      <w:r w:rsidR="00803679">
        <w:rPr>
          <w:rFonts w:ascii="Verdana" w:eastAsia="Verdana" w:hAnsi="Verdana" w:cs="Verdana"/>
        </w:rPr>
        <w:t>.</w:t>
      </w:r>
      <w:r w:rsidR="7972F2D2" w:rsidRPr="009245D2">
        <w:rPr>
          <w:rFonts w:ascii="Verdana" w:eastAsia="Verdana" w:hAnsi="Verdana" w:cs="Verdana"/>
        </w:rPr>
        <w:t xml:space="preserve"> </w:t>
      </w:r>
    </w:p>
    <w:p w14:paraId="2C7C9F73" w14:textId="21B2D105" w:rsidR="05BF5928" w:rsidRPr="009245D2" w:rsidRDefault="7D7739C6" w:rsidP="009245D2">
      <w:pPr>
        <w:pStyle w:val="Odstavecseseznamem"/>
        <w:numPr>
          <w:ilvl w:val="0"/>
          <w:numId w:val="18"/>
        </w:numPr>
        <w:jc w:val="both"/>
        <w:rPr>
          <w:rFonts w:ascii="Verdana" w:eastAsia="Verdana" w:hAnsi="Verdana" w:cs="Verdana"/>
        </w:rPr>
      </w:pPr>
      <w:r w:rsidRPr="009245D2">
        <w:rPr>
          <w:rFonts w:ascii="Verdana" w:eastAsia="Verdana" w:hAnsi="Verdana" w:cs="Verdana"/>
        </w:rPr>
        <w:t>N</w:t>
      </w:r>
      <w:r w:rsidR="31B5F34F" w:rsidRPr="009245D2">
        <w:rPr>
          <w:rFonts w:ascii="Verdana" w:eastAsia="Verdana" w:hAnsi="Verdana" w:cs="Verdana"/>
        </w:rPr>
        <w:t xml:space="preserve">astavit parametry např. pro </w:t>
      </w:r>
      <w:r w:rsidR="0BCE673F" w:rsidRPr="009245D2">
        <w:rPr>
          <w:rFonts w:ascii="Verdana" w:eastAsia="Verdana" w:hAnsi="Verdana" w:cs="Verdana"/>
        </w:rPr>
        <w:t>výpočty započitatelných podlahovýc</w:t>
      </w:r>
      <w:r w:rsidR="3A0CA9C4" w:rsidRPr="009245D2">
        <w:rPr>
          <w:rFonts w:ascii="Verdana" w:eastAsia="Verdana" w:hAnsi="Verdana" w:cs="Verdana"/>
        </w:rPr>
        <w:t xml:space="preserve">h ploch s použitím legislativou daných koeficientů, </w:t>
      </w:r>
      <w:r w:rsidR="0BCE673F" w:rsidRPr="009245D2">
        <w:rPr>
          <w:rFonts w:ascii="Verdana" w:eastAsia="Verdana" w:hAnsi="Verdana" w:cs="Verdana"/>
        </w:rPr>
        <w:t>rozúčtování nákladů dle náměrů indikátorů topných náklad</w:t>
      </w:r>
      <w:r w:rsidR="6E0F6318" w:rsidRPr="009245D2">
        <w:rPr>
          <w:rFonts w:ascii="Verdana" w:eastAsia="Verdana" w:hAnsi="Verdana" w:cs="Verdana"/>
        </w:rPr>
        <w:t>ů</w:t>
      </w:r>
      <w:r w:rsidR="6D7BFBAD" w:rsidRPr="009245D2">
        <w:rPr>
          <w:rFonts w:ascii="Verdana" w:eastAsia="Verdana" w:hAnsi="Verdana" w:cs="Verdana"/>
        </w:rPr>
        <w:t xml:space="preserve"> s použitím příslušných koeficientů</w:t>
      </w:r>
      <w:r w:rsidR="0BCE673F" w:rsidRPr="009245D2">
        <w:rPr>
          <w:rFonts w:ascii="Verdana" w:eastAsia="Verdana" w:hAnsi="Verdana" w:cs="Verdana"/>
        </w:rPr>
        <w:t>,</w:t>
      </w:r>
      <w:r w:rsidR="5532A854" w:rsidRPr="009245D2">
        <w:rPr>
          <w:rFonts w:ascii="Verdana" w:eastAsia="Verdana" w:hAnsi="Verdana" w:cs="Verdana"/>
        </w:rPr>
        <w:t xml:space="preserve"> </w:t>
      </w:r>
      <w:r w:rsidR="1F45F204" w:rsidRPr="009245D2">
        <w:rPr>
          <w:rFonts w:ascii="Verdana" w:eastAsia="Verdana" w:hAnsi="Verdana" w:cs="Verdana"/>
        </w:rPr>
        <w:t>přepočet při překročení přípus</w:t>
      </w:r>
      <w:r w:rsidR="39B46079" w:rsidRPr="009245D2">
        <w:rPr>
          <w:rFonts w:ascii="Verdana" w:eastAsia="Verdana" w:hAnsi="Verdana" w:cs="Verdana"/>
        </w:rPr>
        <w:t>t</w:t>
      </w:r>
      <w:r w:rsidR="1F45F204" w:rsidRPr="009245D2">
        <w:rPr>
          <w:rFonts w:ascii="Verdana" w:eastAsia="Verdana" w:hAnsi="Verdana" w:cs="Verdana"/>
        </w:rPr>
        <w:t>né odchylky rozdílů</w:t>
      </w:r>
      <w:r w:rsidR="1B88EE29" w:rsidRPr="009245D2">
        <w:rPr>
          <w:rFonts w:ascii="Verdana" w:eastAsia="Verdana" w:hAnsi="Verdana" w:cs="Verdana"/>
        </w:rPr>
        <w:t xml:space="preserve">, grafické znázornění meziročního srovnání </w:t>
      </w:r>
      <w:r w:rsidR="26CE4B61" w:rsidRPr="009245D2">
        <w:rPr>
          <w:rFonts w:ascii="Verdana" w:eastAsia="Verdana" w:hAnsi="Verdana" w:cs="Verdana"/>
        </w:rPr>
        <w:t xml:space="preserve">spotřeby </w:t>
      </w:r>
      <w:r w:rsidR="009245D2" w:rsidRPr="009245D2">
        <w:rPr>
          <w:rFonts w:ascii="Verdana" w:eastAsia="Verdana" w:hAnsi="Verdana" w:cs="Verdana"/>
        </w:rPr>
        <w:t>tepla</w:t>
      </w:r>
      <w:r w:rsidR="5E29959E" w:rsidRPr="009245D2">
        <w:rPr>
          <w:rFonts w:ascii="Verdana" w:eastAsia="Verdana" w:hAnsi="Verdana" w:cs="Verdana"/>
        </w:rPr>
        <w:t xml:space="preserve"> </w:t>
      </w:r>
      <w:r w:rsidR="1B88EE29" w:rsidRPr="009245D2">
        <w:rPr>
          <w:rFonts w:ascii="Verdana" w:eastAsia="Verdana" w:hAnsi="Verdana" w:cs="Verdana"/>
        </w:rPr>
        <w:t>apod.</w:t>
      </w:r>
    </w:p>
    <w:p w14:paraId="27EDDC11" w14:textId="7356F3B5" w:rsidR="0B7BD7D9" w:rsidRDefault="0B7BD7D9" w:rsidP="2FC8C811">
      <w:pPr>
        <w:pStyle w:val="Odstavecseseznamem"/>
        <w:numPr>
          <w:ilvl w:val="0"/>
          <w:numId w:val="18"/>
        </w:numPr>
        <w:jc w:val="both"/>
        <w:rPr>
          <w:rFonts w:ascii="Verdana" w:eastAsia="Verdana" w:hAnsi="Verdana" w:cs="Verdana"/>
        </w:rPr>
      </w:pPr>
      <w:r w:rsidRPr="2FC8C811">
        <w:rPr>
          <w:rFonts w:ascii="Verdana" w:eastAsia="Verdana" w:hAnsi="Verdana" w:cs="Verdana"/>
        </w:rPr>
        <w:t>Rozšířit funkcionality pro r</w:t>
      </w:r>
      <w:r w:rsidR="03FC7804" w:rsidRPr="2FC8C811">
        <w:rPr>
          <w:rFonts w:ascii="Verdana" w:eastAsia="Verdana" w:hAnsi="Verdana" w:cs="Verdana"/>
        </w:rPr>
        <w:t>ozúčtování chladu a větrání (klimatizace a vzduchotechnika) zpravidla v kWh a Kč.</w:t>
      </w:r>
    </w:p>
    <w:p w14:paraId="7F96EC41" w14:textId="0FFA3EA8" w:rsidR="4F4A994B" w:rsidRDefault="4F4A994B" w:rsidP="2FC8C811">
      <w:pPr>
        <w:pStyle w:val="Odstavecseseznamem"/>
        <w:numPr>
          <w:ilvl w:val="0"/>
          <w:numId w:val="18"/>
        </w:numPr>
        <w:jc w:val="both"/>
        <w:rPr>
          <w:rFonts w:ascii="Verdana" w:eastAsia="Verdana" w:hAnsi="Verdana" w:cs="Verdana"/>
        </w:rPr>
      </w:pPr>
      <w:r w:rsidRPr="2FC8C811">
        <w:rPr>
          <w:rFonts w:ascii="Verdana" w:eastAsia="Verdana" w:hAnsi="Verdana" w:cs="Verdana"/>
        </w:rPr>
        <w:t xml:space="preserve">Zajistit </w:t>
      </w:r>
      <w:r w:rsidR="10794B6A" w:rsidRPr="2FC8C811">
        <w:rPr>
          <w:rFonts w:ascii="Verdana" w:eastAsia="Verdana" w:hAnsi="Verdana" w:cs="Verdana"/>
        </w:rPr>
        <w:t>řešen</w:t>
      </w:r>
      <w:r w:rsidR="59EEAC31" w:rsidRPr="2FC8C811">
        <w:rPr>
          <w:rFonts w:ascii="Verdana" w:eastAsia="Verdana" w:hAnsi="Verdana" w:cs="Verdana"/>
        </w:rPr>
        <w:t>í</w:t>
      </w:r>
      <w:r w:rsidR="10794B6A" w:rsidRPr="2FC8C811">
        <w:rPr>
          <w:rFonts w:ascii="Verdana" w:eastAsia="Verdana" w:hAnsi="Verdana" w:cs="Verdana"/>
        </w:rPr>
        <w:t xml:space="preserve"> dálkov</w:t>
      </w:r>
      <w:r w:rsidR="36CC153C" w:rsidRPr="2FC8C811">
        <w:rPr>
          <w:rFonts w:ascii="Verdana" w:eastAsia="Verdana" w:hAnsi="Verdana" w:cs="Verdana"/>
        </w:rPr>
        <w:t xml:space="preserve">ého </w:t>
      </w:r>
      <w:r w:rsidR="10794B6A" w:rsidRPr="2FC8C811">
        <w:rPr>
          <w:rFonts w:ascii="Verdana" w:eastAsia="Verdana" w:hAnsi="Verdana" w:cs="Verdana"/>
        </w:rPr>
        <w:t>přenos</w:t>
      </w:r>
      <w:r w:rsidR="5C705FD8" w:rsidRPr="2FC8C811">
        <w:rPr>
          <w:rFonts w:ascii="Verdana" w:eastAsia="Verdana" w:hAnsi="Verdana" w:cs="Verdana"/>
        </w:rPr>
        <w:t>u</w:t>
      </w:r>
      <w:r w:rsidR="10794B6A" w:rsidRPr="2FC8C811">
        <w:rPr>
          <w:rFonts w:ascii="Verdana" w:eastAsia="Verdana" w:hAnsi="Verdana" w:cs="Verdana"/>
        </w:rPr>
        <w:t xml:space="preserve"> dat stavů podružných měřidel (plynoměry, vodoměry, kalorimetry).</w:t>
      </w:r>
    </w:p>
    <w:p w14:paraId="7EC4638C" w14:textId="77777777" w:rsidR="564ABC1F" w:rsidRDefault="564ABC1F" w:rsidP="2FC8C811">
      <w:pPr>
        <w:jc w:val="both"/>
        <w:rPr>
          <w:rFonts w:ascii="Verdana" w:eastAsia="Verdana" w:hAnsi="Verdana" w:cs="Verdana"/>
        </w:rPr>
      </w:pPr>
      <w:r w:rsidRPr="2FC8C811">
        <w:rPr>
          <w:rFonts w:ascii="Verdana" w:eastAsia="Verdana" w:hAnsi="Verdana" w:cs="Verdana"/>
        </w:rPr>
        <w:t>V rámci ZVN za daný rok provedené v následujícím roce, by mělo dojít k vyúčtování a k úpravě výše paušálu podle skutečné spotřeby.</w:t>
      </w:r>
    </w:p>
    <w:p w14:paraId="44205972" w14:textId="48F16E5E" w:rsidR="564ABC1F" w:rsidRDefault="564ABC1F" w:rsidP="2FC8C811">
      <w:pPr>
        <w:pStyle w:val="Odstavecseseznamem"/>
        <w:numPr>
          <w:ilvl w:val="0"/>
          <w:numId w:val="18"/>
        </w:numPr>
        <w:jc w:val="both"/>
        <w:rPr>
          <w:rFonts w:ascii="Verdana" w:eastAsia="Verdana" w:hAnsi="Verdana" w:cs="Verdana"/>
        </w:rPr>
      </w:pPr>
      <w:r w:rsidRPr="2FC8C811">
        <w:rPr>
          <w:rFonts w:ascii="Verdana" w:eastAsia="Verdana" w:hAnsi="Verdana" w:cs="Verdana"/>
        </w:rPr>
        <w:t>Analýzu a cílový koncept pro nastavení poskytování (dodávky) komodity v rámci dohody o službách pro komerční prostory, kdy je dodávána služba do cizích objektů v rámci společného vyúčtování o dodávce pro partnery, kteří nejsou současně v nájmu.</w:t>
      </w:r>
    </w:p>
    <w:p w14:paraId="6B81AFAB" w14:textId="7123E396" w:rsidR="564ABC1F" w:rsidRDefault="564ABC1F" w:rsidP="2FC8C811">
      <w:pPr>
        <w:pStyle w:val="Odstavecseseznamem"/>
        <w:numPr>
          <w:ilvl w:val="0"/>
          <w:numId w:val="18"/>
        </w:numPr>
        <w:jc w:val="both"/>
        <w:rPr>
          <w:rFonts w:ascii="Verdana" w:eastAsia="Verdana" w:hAnsi="Verdana" w:cs="Verdana"/>
        </w:rPr>
      </w:pPr>
      <w:r w:rsidRPr="05F63FF6">
        <w:rPr>
          <w:rFonts w:ascii="Verdana" w:eastAsia="Verdana" w:hAnsi="Verdana" w:cs="Verdana"/>
        </w:rPr>
        <w:t>Sjednocení periody vyúčtování pro komerční nájmy, byty i interní využití -&gt; vyúčtování provádět v roční periodě.</w:t>
      </w:r>
    </w:p>
    <w:p w14:paraId="132F818E" w14:textId="09A194CB" w:rsidR="05F63FF6" w:rsidRDefault="05F63FF6" w:rsidP="005A0040">
      <w:pPr>
        <w:pStyle w:val="Odstavecseseznamem"/>
        <w:ind w:left="1065"/>
        <w:jc w:val="both"/>
        <w:rPr>
          <w:rFonts w:ascii="Verdana" w:eastAsia="Verdana" w:hAnsi="Verdana" w:cs="Verdana"/>
        </w:rPr>
      </w:pPr>
    </w:p>
    <w:p w14:paraId="523DF98A" w14:textId="123F8DD0" w:rsidR="2CA628A8" w:rsidRDefault="2CA628A8" w:rsidP="00EC6651">
      <w:pPr>
        <w:pStyle w:val="Odstavecseseznamem"/>
        <w:numPr>
          <w:ilvl w:val="0"/>
          <w:numId w:val="27"/>
        </w:numPr>
        <w:jc w:val="both"/>
        <w:rPr>
          <w:rFonts w:ascii="Verdana" w:eastAsia="Verdana" w:hAnsi="Verdana" w:cs="Verdana"/>
        </w:rPr>
      </w:pPr>
      <w:r w:rsidRPr="00C30672">
        <w:rPr>
          <w:rFonts w:ascii="Verdana" w:eastAsia="Verdana" w:hAnsi="Verdana" w:cs="Verdana"/>
        </w:rPr>
        <w:t>Provést a</w:t>
      </w:r>
      <w:r w:rsidR="0ED98AE0" w:rsidRPr="00C30672">
        <w:rPr>
          <w:rFonts w:ascii="Verdana" w:eastAsia="Verdana" w:hAnsi="Verdana" w:cs="Verdana"/>
        </w:rPr>
        <w:t>nalýzu a cílový koncept pro vytvoření automatického zákaznického programu pro výpočet tepla.</w:t>
      </w:r>
      <w:r w:rsidR="620BE3A1" w:rsidRPr="00C30672">
        <w:rPr>
          <w:rFonts w:ascii="Verdana" w:eastAsia="Verdana" w:hAnsi="Verdana" w:cs="Verdana"/>
        </w:rPr>
        <w:t xml:space="preserve"> </w:t>
      </w:r>
      <w:r w:rsidR="0E91F596" w:rsidRPr="00C30672">
        <w:rPr>
          <w:rFonts w:ascii="Verdana" w:eastAsia="Verdana" w:hAnsi="Verdana" w:cs="Verdana"/>
        </w:rPr>
        <w:t xml:space="preserve">Cílem požadavku je využít vytvořený cílový koncept pro zadání nových funkcionalit pro </w:t>
      </w:r>
      <w:r w:rsidR="7ED08C9B" w:rsidRPr="00C30672">
        <w:rPr>
          <w:rFonts w:ascii="Verdana" w:eastAsia="Verdana" w:hAnsi="Verdana" w:cs="Verdana"/>
        </w:rPr>
        <w:t>evid</w:t>
      </w:r>
      <w:r w:rsidR="72BC3655" w:rsidRPr="00C30672">
        <w:rPr>
          <w:rFonts w:ascii="Verdana" w:eastAsia="Verdana" w:hAnsi="Verdana" w:cs="Verdana"/>
        </w:rPr>
        <w:t>e</w:t>
      </w:r>
      <w:r w:rsidR="7ED08C9B" w:rsidRPr="00C30672">
        <w:rPr>
          <w:rFonts w:ascii="Verdana" w:eastAsia="Verdana" w:hAnsi="Verdana" w:cs="Verdana"/>
        </w:rPr>
        <w:t xml:space="preserve">nci </w:t>
      </w:r>
      <w:r w:rsidR="0E91F596" w:rsidRPr="00C30672">
        <w:rPr>
          <w:rFonts w:ascii="Verdana" w:eastAsia="Verdana" w:hAnsi="Verdana" w:cs="Verdana"/>
        </w:rPr>
        <w:t>vstupní</w:t>
      </w:r>
      <w:r w:rsidR="548EB9BE" w:rsidRPr="00C30672">
        <w:rPr>
          <w:rFonts w:ascii="Verdana" w:eastAsia="Verdana" w:hAnsi="Verdana" w:cs="Verdana"/>
        </w:rPr>
        <w:t xml:space="preserve">ch </w:t>
      </w:r>
      <w:r w:rsidR="0E91F596" w:rsidRPr="00C30672">
        <w:rPr>
          <w:rFonts w:ascii="Verdana" w:eastAsia="Verdana" w:hAnsi="Verdana" w:cs="Verdana"/>
        </w:rPr>
        <w:t>dat</w:t>
      </w:r>
      <w:r w:rsidR="691AEFF7" w:rsidRPr="00C30672">
        <w:rPr>
          <w:rFonts w:ascii="Verdana" w:eastAsia="Verdana" w:hAnsi="Verdana" w:cs="Verdana"/>
        </w:rPr>
        <w:t xml:space="preserve"> </w:t>
      </w:r>
      <w:r w:rsidR="0E91F596" w:rsidRPr="00C30672">
        <w:rPr>
          <w:rFonts w:ascii="Verdana" w:eastAsia="Verdana" w:hAnsi="Verdana" w:cs="Verdana"/>
        </w:rPr>
        <w:t xml:space="preserve">a </w:t>
      </w:r>
      <w:r w:rsidR="4F00BF92" w:rsidRPr="00C30672">
        <w:rPr>
          <w:rFonts w:ascii="Verdana" w:eastAsia="Verdana" w:hAnsi="Verdana" w:cs="Verdana"/>
        </w:rPr>
        <w:t>výpočtů k následnému rozúčtování a vyúčtování v rámci ZVN.</w:t>
      </w:r>
      <w:r w:rsidR="0E91F596" w:rsidRPr="2FC8C811">
        <w:rPr>
          <w:rFonts w:ascii="Verdana" w:eastAsia="Verdana" w:hAnsi="Verdana" w:cs="Verdana"/>
        </w:rPr>
        <w:t xml:space="preserve"> </w:t>
      </w:r>
    </w:p>
    <w:p w14:paraId="191062C0" w14:textId="3A0E85E9" w:rsidR="43C7A313" w:rsidRDefault="43C7A313" w:rsidP="2FC8C811">
      <w:pPr>
        <w:pStyle w:val="Odstavecseseznamem"/>
        <w:numPr>
          <w:ilvl w:val="0"/>
          <w:numId w:val="26"/>
        </w:numPr>
        <w:jc w:val="both"/>
        <w:rPr>
          <w:rFonts w:ascii="Verdana" w:eastAsia="Verdana" w:hAnsi="Verdana" w:cs="Verdana"/>
        </w:rPr>
      </w:pPr>
      <w:r w:rsidRPr="00B225DC">
        <w:rPr>
          <w:rFonts w:ascii="Verdana" w:eastAsia="Verdana" w:hAnsi="Verdana" w:cs="Verdana"/>
        </w:rPr>
        <w:t xml:space="preserve">Zavést </w:t>
      </w:r>
      <w:r w:rsidR="17009F00" w:rsidRPr="00B225DC">
        <w:rPr>
          <w:rFonts w:ascii="Verdana" w:eastAsia="Verdana" w:hAnsi="Verdana" w:cs="Verdana"/>
        </w:rPr>
        <w:t xml:space="preserve">v SAP </w:t>
      </w:r>
      <w:r w:rsidR="58685CCA" w:rsidRPr="00B225DC">
        <w:rPr>
          <w:rFonts w:ascii="Verdana" w:eastAsia="Verdana" w:hAnsi="Verdana" w:cs="Verdana"/>
        </w:rPr>
        <w:t xml:space="preserve">evidenci </w:t>
      </w:r>
      <w:r w:rsidR="41D2ED8C" w:rsidRPr="00B225DC">
        <w:rPr>
          <w:rFonts w:ascii="Verdana" w:eastAsia="Verdana" w:hAnsi="Verdana" w:cs="Verdana"/>
        </w:rPr>
        <w:t>vstupní</w:t>
      </w:r>
      <w:r w:rsidR="29BC011E" w:rsidRPr="00B225DC">
        <w:rPr>
          <w:rFonts w:ascii="Verdana" w:eastAsia="Verdana" w:hAnsi="Verdana" w:cs="Verdana"/>
        </w:rPr>
        <w:t xml:space="preserve">ch </w:t>
      </w:r>
      <w:r w:rsidR="41D2ED8C" w:rsidRPr="00B225DC">
        <w:rPr>
          <w:rFonts w:ascii="Verdana" w:eastAsia="Verdana" w:hAnsi="Verdana" w:cs="Verdana"/>
        </w:rPr>
        <w:t>hodnot pro následné rozúčtování. Jedná se o evidenci množství nakoupeného tepla v GJ/MWh a Kč, evidenci množství nakoupeného tepla k transformaci v GJ/MWh a Kč</w:t>
      </w:r>
      <w:r w:rsidR="41D2ED8C" w:rsidRPr="2FC8C811">
        <w:rPr>
          <w:rFonts w:ascii="Verdana" w:eastAsia="Verdana" w:hAnsi="Verdana" w:cs="Verdana"/>
        </w:rPr>
        <w:t xml:space="preserve"> (výměníky provozované SŽ), výpočty množství vyrobeného tepla v GJ/MWh a Kč (kotelny provozované SŽ), </w:t>
      </w:r>
      <w:r w:rsidR="1DA33136" w:rsidRPr="2FC8C811">
        <w:rPr>
          <w:rFonts w:ascii="Verdana" w:eastAsia="Verdana" w:hAnsi="Verdana" w:cs="Verdana"/>
        </w:rPr>
        <w:t xml:space="preserve">výpočty množství vyrobeného chladu v kWh/GJ a Kč, </w:t>
      </w:r>
      <w:r w:rsidR="41D2ED8C" w:rsidRPr="2FC8C811">
        <w:rPr>
          <w:rFonts w:ascii="Verdana" w:eastAsia="Verdana" w:hAnsi="Verdana" w:cs="Verdana"/>
        </w:rPr>
        <w:t>evidenci spotřeby vody v m</w:t>
      </w:r>
      <w:r w:rsidR="41D2ED8C" w:rsidRPr="00B225DC">
        <w:rPr>
          <w:rFonts w:ascii="Verdana" w:eastAsia="Verdana" w:hAnsi="Verdana" w:cs="Verdana"/>
          <w:vertAlign w:val="superscript"/>
        </w:rPr>
        <w:t>3</w:t>
      </w:r>
      <w:r w:rsidR="41D2ED8C" w:rsidRPr="2FC8C811">
        <w:rPr>
          <w:rFonts w:ascii="Verdana" w:eastAsia="Verdana" w:hAnsi="Verdana" w:cs="Verdana"/>
        </w:rPr>
        <w:t xml:space="preserve"> a Kč. </w:t>
      </w:r>
    </w:p>
    <w:p w14:paraId="0C83FA62" w14:textId="7D1A3C51" w:rsidR="2FC8C811" w:rsidRDefault="2FC8C811" w:rsidP="2FC8C811">
      <w:pPr>
        <w:pStyle w:val="Odstavecseseznamem"/>
        <w:jc w:val="both"/>
      </w:pPr>
    </w:p>
    <w:p w14:paraId="6E2C40A3" w14:textId="5015F953" w:rsidR="14DA56DC" w:rsidRPr="00B225DC" w:rsidRDefault="14DA56DC" w:rsidP="2FC8C811">
      <w:pPr>
        <w:pStyle w:val="Odstavecseseznamem"/>
        <w:numPr>
          <w:ilvl w:val="0"/>
          <w:numId w:val="26"/>
        </w:numPr>
        <w:jc w:val="both"/>
        <w:rPr>
          <w:rFonts w:ascii="Verdana" w:eastAsia="Verdana" w:hAnsi="Verdana" w:cs="Verdana"/>
        </w:rPr>
      </w:pPr>
      <w:r w:rsidRPr="00B225DC">
        <w:rPr>
          <w:rFonts w:ascii="Verdana" w:eastAsia="Verdana" w:hAnsi="Verdana" w:cs="Verdana"/>
        </w:rPr>
        <w:t xml:space="preserve">Zavést v SAP evidenci </w:t>
      </w:r>
      <w:r w:rsidR="41D2ED8C" w:rsidRPr="00B225DC">
        <w:rPr>
          <w:rFonts w:ascii="Verdana" w:eastAsia="Verdana" w:hAnsi="Verdana" w:cs="Verdana"/>
        </w:rPr>
        <w:t>spotřeby paliv (plyn, pevná paliva, LTO a propan) použitých k výrobě tepla v kotelnách SŽ</w:t>
      </w:r>
      <w:r w:rsidR="621A497E" w:rsidRPr="00B225DC">
        <w:rPr>
          <w:rFonts w:ascii="Verdana" w:eastAsia="Verdana" w:hAnsi="Verdana" w:cs="Verdana"/>
        </w:rPr>
        <w:t xml:space="preserve"> (</w:t>
      </w:r>
      <w:r w:rsidR="41D2ED8C" w:rsidRPr="00B225DC">
        <w:rPr>
          <w:rFonts w:ascii="Verdana" w:eastAsia="Verdana" w:hAnsi="Verdana" w:cs="Verdana"/>
        </w:rPr>
        <w:t>spotřebu elektřiny pro výrobu tepla lze řešit přenosem dat ze SAP/ISU</w:t>
      </w:r>
      <w:r w:rsidR="6D32DCAC" w:rsidRPr="00B225DC">
        <w:rPr>
          <w:rFonts w:ascii="Verdana" w:eastAsia="Verdana" w:hAnsi="Verdana" w:cs="Verdana"/>
        </w:rPr>
        <w:t>)</w:t>
      </w:r>
      <w:r w:rsidR="433331BE" w:rsidRPr="00B225DC">
        <w:rPr>
          <w:rFonts w:ascii="Verdana" w:eastAsia="Verdana" w:hAnsi="Verdana" w:cs="Verdana"/>
        </w:rPr>
        <w:t xml:space="preserve"> a jejich parametrů (výhřevnost)</w:t>
      </w:r>
      <w:r w:rsidR="41D2ED8C" w:rsidRPr="00B225DC">
        <w:rPr>
          <w:rFonts w:ascii="Verdana" w:eastAsia="Verdana" w:hAnsi="Verdana" w:cs="Verdana"/>
        </w:rPr>
        <w:t>.</w:t>
      </w:r>
      <w:r w:rsidR="55C623B6" w:rsidRPr="00B225DC">
        <w:rPr>
          <w:rFonts w:ascii="Verdana" w:eastAsia="Verdana" w:hAnsi="Verdana" w:cs="Verdana"/>
        </w:rPr>
        <w:t xml:space="preserve"> V SAP nejsou zavedeny </w:t>
      </w:r>
      <w:r w:rsidR="41D2ED8C" w:rsidRPr="00B225DC">
        <w:rPr>
          <w:rFonts w:ascii="Verdana" w:eastAsia="Verdana" w:hAnsi="Verdana" w:cs="Verdana"/>
        </w:rPr>
        <w:t>paramet</w:t>
      </w:r>
      <w:r w:rsidR="31202A86" w:rsidRPr="00B225DC">
        <w:rPr>
          <w:rFonts w:ascii="Verdana" w:eastAsia="Verdana" w:hAnsi="Verdana" w:cs="Verdana"/>
        </w:rPr>
        <w:t>ry k</w:t>
      </w:r>
      <w:r w:rsidR="41D2ED8C" w:rsidRPr="00B225DC">
        <w:rPr>
          <w:rFonts w:ascii="Verdana" w:eastAsia="Verdana" w:hAnsi="Verdana" w:cs="Verdana"/>
        </w:rPr>
        <w:t>otelen</w:t>
      </w:r>
      <w:r w:rsidR="4BC9080C" w:rsidRPr="00B225DC">
        <w:rPr>
          <w:rFonts w:ascii="Verdana" w:eastAsia="Verdana" w:hAnsi="Verdana" w:cs="Verdana"/>
        </w:rPr>
        <w:t xml:space="preserve"> (účinnost zdrojů)</w:t>
      </w:r>
      <w:r w:rsidR="004C43CA">
        <w:rPr>
          <w:rFonts w:ascii="Verdana" w:eastAsia="Verdana" w:hAnsi="Verdana" w:cs="Verdana"/>
        </w:rPr>
        <w:t>.</w:t>
      </w:r>
      <w:r w:rsidR="66C6282A" w:rsidRPr="2FC8C811">
        <w:rPr>
          <w:rFonts w:ascii="Verdana" w:eastAsia="Verdana" w:hAnsi="Verdana" w:cs="Verdana"/>
        </w:rPr>
        <w:t xml:space="preserve"> </w:t>
      </w:r>
    </w:p>
    <w:p w14:paraId="595A9FC4" w14:textId="70135363" w:rsidR="257E363F" w:rsidRPr="00B225DC" w:rsidRDefault="257E363F" w:rsidP="2FC8C811">
      <w:pPr>
        <w:pStyle w:val="Odstavecseseznamem"/>
        <w:jc w:val="both"/>
        <w:rPr>
          <w:rFonts w:ascii="Verdana" w:eastAsia="Verdana" w:hAnsi="Verdana" w:cs="Verdana"/>
        </w:rPr>
      </w:pPr>
      <w:r w:rsidRPr="00B225DC">
        <w:rPr>
          <w:rFonts w:ascii="Verdana" w:eastAsia="Verdana" w:hAnsi="Verdana" w:cs="Verdana"/>
        </w:rPr>
        <w:t xml:space="preserve"> </w:t>
      </w:r>
    </w:p>
    <w:p w14:paraId="0DBEE95E" w14:textId="6EAF4C9B" w:rsidR="5C7F1604" w:rsidRPr="00B225DC" w:rsidRDefault="5C7F1604" w:rsidP="2FC8C811">
      <w:pPr>
        <w:pStyle w:val="Odstavecseseznamem"/>
        <w:numPr>
          <w:ilvl w:val="0"/>
          <w:numId w:val="26"/>
        </w:numPr>
        <w:jc w:val="both"/>
        <w:rPr>
          <w:rFonts w:ascii="Verdana" w:eastAsia="Verdana" w:hAnsi="Verdana" w:cs="Verdana"/>
        </w:rPr>
      </w:pPr>
      <w:r w:rsidRPr="00B225DC">
        <w:rPr>
          <w:rFonts w:ascii="Verdana" w:eastAsia="Verdana" w:hAnsi="Verdana" w:cs="Verdana"/>
        </w:rPr>
        <w:t xml:space="preserve">Zajistit řešení </w:t>
      </w:r>
      <w:r w:rsidR="41D2ED8C" w:rsidRPr="00B225DC">
        <w:rPr>
          <w:rFonts w:ascii="Verdana" w:eastAsia="Verdana" w:hAnsi="Verdana" w:cs="Verdana"/>
        </w:rPr>
        <w:t>dálkov</w:t>
      </w:r>
      <w:r w:rsidR="1B4EF759" w:rsidRPr="00B225DC">
        <w:rPr>
          <w:rFonts w:ascii="Verdana" w:eastAsia="Verdana" w:hAnsi="Verdana" w:cs="Verdana"/>
        </w:rPr>
        <w:t>é</w:t>
      </w:r>
      <w:r w:rsidR="067CA76A" w:rsidRPr="00B225DC">
        <w:rPr>
          <w:rFonts w:ascii="Verdana" w:eastAsia="Verdana" w:hAnsi="Verdana" w:cs="Verdana"/>
        </w:rPr>
        <w:t>ho</w:t>
      </w:r>
      <w:r w:rsidR="41D2ED8C" w:rsidRPr="00B225DC">
        <w:rPr>
          <w:rFonts w:ascii="Verdana" w:eastAsia="Verdana" w:hAnsi="Verdana" w:cs="Verdana"/>
        </w:rPr>
        <w:t xml:space="preserve"> přenos</w:t>
      </w:r>
      <w:r w:rsidR="2D3F8C96" w:rsidRPr="00B225DC">
        <w:rPr>
          <w:rFonts w:ascii="Verdana" w:eastAsia="Verdana" w:hAnsi="Verdana" w:cs="Verdana"/>
        </w:rPr>
        <w:t>u</w:t>
      </w:r>
      <w:r w:rsidR="41D2ED8C" w:rsidRPr="00B225DC">
        <w:rPr>
          <w:rFonts w:ascii="Verdana" w:eastAsia="Verdana" w:hAnsi="Verdana" w:cs="Verdana"/>
        </w:rPr>
        <w:t xml:space="preserve"> dat stavů fakturačních</w:t>
      </w:r>
      <w:r w:rsidR="3B3F121B" w:rsidRPr="00B225DC">
        <w:rPr>
          <w:rFonts w:ascii="Verdana" w:eastAsia="Verdana" w:hAnsi="Verdana" w:cs="Verdana"/>
        </w:rPr>
        <w:t xml:space="preserve"> </w:t>
      </w:r>
      <w:r w:rsidR="41D2ED8C" w:rsidRPr="00B225DC">
        <w:rPr>
          <w:rFonts w:ascii="Verdana" w:eastAsia="Verdana" w:hAnsi="Verdana" w:cs="Verdana"/>
        </w:rPr>
        <w:t>měřidel (plynoměry, vodoměry, kalorimetry).</w:t>
      </w:r>
    </w:p>
    <w:p w14:paraId="05ADEF85" w14:textId="05905644" w:rsidR="0ED98AE0" w:rsidRPr="00581DB3" w:rsidRDefault="746F7963" w:rsidP="2FC8C811">
      <w:pPr>
        <w:jc w:val="both"/>
        <w:rPr>
          <w:rFonts w:ascii="Verdana" w:eastAsia="Verdana" w:hAnsi="Verdana" w:cs="Verdana"/>
        </w:rPr>
      </w:pPr>
      <w:r w:rsidRPr="4D397FE7">
        <w:rPr>
          <w:rFonts w:ascii="Verdana" w:eastAsia="Verdana" w:hAnsi="Verdana" w:cs="Verdana"/>
        </w:rPr>
        <w:t xml:space="preserve">Při analýze pro zavedení vyúčtování vyráběného tepla a výpočtu tepla v systému SAP </w:t>
      </w:r>
      <w:r w:rsidRPr="00581DB3">
        <w:rPr>
          <w:rFonts w:ascii="Verdana" w:eastAsia="Verdana" w:hAnsi="Verdana" w:cs="Verdana"/>
        </w:rPr>
        <w:t>je nutné zohlednit</w:t>
      </w:r>
      <w:r w:rsidRPr="4D397FE7">
        <w:rPr>
          <w:rFonts w:ascii="Verdana" w:eastAsia="Verdana" w:hAnsi="Verdana" w:cs="Verdana"/>
        </w:rPr>
        <w:t xml:space="preserve"> nutnost</w:t>
      </w:r>
      <w:r w:rsidR="488746A6" w:rsidRPr="4D397FE7">
        <w:rPr>
          <w:rFonts w:ascii="Verdana" w:eastAsia="Verdana" w:hAnsi="Verdana" w:cs="Verdana"/>
        </w:rPr>
        <w:t xml:space="preserve"> </w:t>
      </w:r>
      <w:r w:rsidR="488746A6" w:rsidRPr="00581DB3">
        <w:rPr>
          <w:rFonts w:ascii="Verdana" w:eastAsia="Verdana" w:hAnsi="Verdana" w:cs="Verdana"/>
        </w:rPr>
        <w:t>zajistit v</w:t>
      </w:r>
      <w:r w:rsidR="3A26ABFA" w:rsidRPr="00581DB3">
        <w:rPr>
          <w:rFonts w:ascii="Verdana" w:eastAsia="Verdana" w:hAnsi="Verdana" w:cs="Verdana"/>
        </w:rPr>
        <w:t xml:space="preserve"> některém z modulů SAP </w:t>
      </w:r>
      <w:r w:rsidR="691C45A2" w:rsidRPr="00581DB3">
        <w:rPr>
          <w:rFonts w:ascii="Verdana" w:eastAsia="Verdana" w:hAnsi="Verdana" w:cs="Verdana"/>
        </w:rPr>
        <w:t xml:space="preserve">níže uvedenou </w:t>
      </w:r>
      <w:r w:rsidR="488746A6" w:rsidRPr="00581DB3">
        <w:rPr>
          <w:rFonts w:ascii="Verdana" w:eastAsia="Verdana" w:hAnsi="Verdana" w:cs="Verdana"/>
        </w:rPr>
        <w:t>evidenc</w:t>
      </w:r>
      <w:r w:rsidR="3D14BE0F" w:rsidRPr="00581DB3">
        <w:rPr>
          <w:rFonts w:ascii="Verdana" w:eastAsia="Verdana" w:hAnsi="Verdana" w:cs="Verdana"/>
        </w:rPr>
        <w:t>i</w:t>
      </w:r>
      <w:r w:rsidR="488746A6" w:rsidRPr="00581DB3">
        <w:rPr>
          <w:rFonts w:ascii="Verdana" w:eastAsia="Verdana" w:hAnsi="Verdana" w:cs="Verdana"/>
        </w:rPr>
        <w:t xml:space="preserve"> a výpočt</w:t>
      </w:r>
      <w:r w:rsidR="0880BCD0" w:rsidRPr="00581DB3">
        <w:rPr>
          <w:rFonts w:ascii="Verdana" w:eastAsia="Verdana" w:hAnsi="Verdana" w:cs="Verdana"/>
        </w:rPr>
        <w:t>y pro vstupní data</w:t>
      </w:r>
      <w:r w:rsidR="1111D618" w:rsidRPr="00581DB3">
        <w:rPr>
          <w:rFonts w:ascii="Verdana" w:eastAsia="Verdana" w:hAnsi="Verdana" w:cs="Verdana"/>
        </w:rPr>
        <w:t xml:space="preserve">. Podrobněji </w:t>
      </w:r>
      <w:r w:rsidR="37A5F4B0" w:rsidRPr="00581DB3">
        <w:rPr>
          <w:rFonts w:ascii="Verdana" w:eastAsia="Verdana" w:hAnsi="Verdana" w:cs="Verdana"/>
        </w:rPr>
        <w:t xml:space="preserve">je </w:t>
      </w:r>
      <w:r w:rsidR="1111D618" w:rsidRPr="00581DB3">
        <w:rPr>
          <w:rFonts w:ascii="Verdana" w:eastAsia="Verdana" w:hAnsi="Verdana" w:cs="Verdana"/>
        </w:rPr>
        <w:t>popsáno v Příloze č. 1</w:t>
      </w:r>
      <w:r w:rsidR="2FAB9BFF" w:rsidRPr="00581DB3">
        <w:rPr>
          <w:rFonts w:ascii="Verdana" w:eastAsia="Verdana" w:hAnsi="Verdana" w:cs="Verdana"/>
        </w:rPr>
        <w:t xml:space="preserve"> k</w:t>
      </w:r>
      <w:r w:rsidR="1111D618" w:rsidRPr="00581DB3">
        <w:rPr>
          <w:rFonts w:ascii="Verdana" w:eastAsia="Verdana" w:hAnsi="Verdana" w:cs="Verdana"/>
        </w:rPr>
        <w:t xml:space="preserve"> Technické specifikac</w:t>
      </w:r>
      <w:r w:rsidR="52754F31" w:rsidRPr="00581DB3">
        <w:rPr>
          <w:rFonts w:ascii="Verdana" w:eastAsia="Verdana" w:hAnsi="Verdana" w:cs="Verdana"/>
        </w:rPr>
        <w:t>i</w:t>
      </w:r>
      <w:r w:rsidR="1111D618" w:rsidRPr="00581DB3">
        <w:rPr>
          <w:rFonts w:ascii="Verdana" w:eastAsia="Verdana" w:hAnsi="Verdana" w:cs="Verdana"/>
        </w:rPr>
        <w:t xml:space="preserve"> k „</w:t>
      </w:r>
      <w:r w:rsidR="00D42CC4" w:rsidRPr="00D42CC4">
        <w:rPr>
          <w:rFonts w:ascii="Verdana" w:eastAsia="Verdana" w:hAnsi="Verdana" w:cs="Verdana"/>
        </w:rPr>
        <w:t>Rozvoj modulu RE-FX a energetika</w:t>
      </w:r>
      <w:r w:rsidR="1111D618" w:rsidRPr="00581DB3">
        <w:rPr>
          <w:rFonts w:ascii="Verdana" w:eastAsia="Verdana" w:hAnsi="Verdana" w:cs="Verdana"/>
        </w:rPr>
        <w:t>“.</w:t>
      </w:r>
    </w:p>
    <w:p w14:paraId="05C182D1" w14:textId="74FDDF02" w:rsidR="009E1B30" w:rsidRPr="00E45A1D" w:rsidRDefault="260CDB7E"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 xml:space="preserve">Evidence dodávek vody </w:t>
      </w:r>
    </w:p>
    <w:p w14:paraId="0B6612AD" w14:textId="34B6D905" w:rsidR="009E1B30" w:rsidRPr="00E45A1D" w:rsidRDefault="1D22632F"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Vstupní data pro výrobu (kotelny) a transformaci (výměníky) tepelné energie</w:t>
      </w:r>
    </w:p>
    <w:p w14:paraId="4A445262" w14:textId="3D772F49" w:rsidR="009E1B30" w:rsidRPr="00E45A1D" w:rsidRDefault="0A8AE8E4"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 xml:space="preserve">Evidence spotřeby paliv v měrných jednotkách </w:t>
      </w:r>
    </w:p>
    <w:p w14:paraId="2E9B6DB5" w14:textId="78552B8C" w:rsidR="009E1B30" w:rsidRPr="00E45A1D" w:rsidRDefault="6F7662A5"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V</w:t>
      </w:r>
      <w:r w:rsidR="315ACC7F" w:rsidRPr="00E45A1D">
        <w:rPr>
          <w:rFonts w:ascii="Verdana" w:eastAsia="Verdana" w:hAnsi="Verdana" w:cs="Verdana"/>
        </w:rPr>
        <w:t>ýroba tepelné energie (</w:t>
      </w:r>
      <w:r w:rsidR="66C02D61" w:rsidRPr="00E45A1D">
        <w:rPr>
          <w:rFonts w:ascii="Verdana" w:eastAsia="Verdana" w:hAnsi="Verdana" w:cs="Verdana"/>
        </w:rPr>
        <w:t>tepelná energie vyrobená v kotelnách SŽ)</w:t>
      </w:r>
    </w:p>
    <w:p w14:paraId="0C0FA711" w14:textId="7630E06B" w:rsidR="004E0B21" w:rsidRPr="00E45A1D" w:rsidRDefault="008870D0"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V</w:t>
      </w:r>
      <w:r w:rsidR="0077632E" w:rsidRPr="00E45A1D">
        <w:rPr>
          <w:rFonts w:ascii="Verdana" w:eastAsia="Verdana" w:hAnsi="Verdana" w:cs="Verdana"/>
        </w:rPr>
        <w:t>ýroba chladu</w:t>
      </w:r>
    </w:p>
    <w:p w14:paraId="158F3074" w14:textId="16598DE0" w:rsidR="0077632E" w:rsidRPr="00E45A1D" w:rsidRDefault="008870D0"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V</w:t>
      </w:r>
      <w:r w:rsidR="00E73342" w:rsidRPr="00E45A1D">
        <w:rPr>
          <w:rFonts w:ascii="Verdana" w:eastAsia="Verdana" w:hAnsi="Verdana" w:cs="Verdana"/>
        </w:rPr>
        <w:t>zduchotechnika, rekuperační jednotky</w:t>
      </w:r>
    </w:p>
    <w:p w14:paraId="0F321C0B" w14:textId="0623A03B" w:rsidR="00E73342" w:rsidRPr="00E45A1D" w:rsidRDefault="008870D0"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T</w:t>
      </w:r>
      <w:r w:rsidR="008B06B5" w:rsidRPr="00E45A1D">
        <w:rPr>
          <w:rFonts w:ascii="Verdana" w:eastAsia="Verdana" w:hAnsi="Verdana" w:cs="Verdana"/>
        </w:rPr>
        <w:t>ransformace tepelné energie (</w:t>
      </w:r>
      <w:r w:rsidR="562CEA0F" w:rsidRPr="00E45A1D">
        <w:rPr>
          <w:rFonts w:ascii="Verdana" w:eastAsia="Verdana" w:hAnsi="Verdana" w:cs="Verdana"/>
        </w:rPr>
        <w:t xml:space="preserve">tepelná energie z </w:t>
      </w:r>
      <w:r w:rsidR="4A93E601" w:rsidRPr="00E45A1D">
        <w:rPr>
          <w:rFonts w:ascii="Verdana" w:eastAsia="Verdana" w:hAnsi="Verdana" w:cs="Verdana"/>
        </w:rPr>
        <w:t>výměník</w:t>
      </w:r>
      <w:r w:rsidR="678819EC" w:rsidRPr="00E45A1D">
        <w:rPr>
          <w:rFonts w:ascii="Verdana" w:eastAsia="Verdana" w:hAnsi="Verdana" w:cs="Verdana"/>
        </w:rPr>
        <w:t>ů SŽ</w:t>
      </w:r>
      <w:r w:rsidR="4A93E601" w:rsidRPr="00E45A1D">
        <w:rPr>
          <w:rFonts w:ascii="Verdana" w:eastAsia="Verdana" w:hAnsi="Verdana" w:cs="Verdana"/>
        </w:rPr>
        <w:t>)</w:t>
      </w:r>
    </w:p>
    <w:p w14:paraId="4580C9FD" w14:textId="4614ACD4" w:rsidR="008B06B5" w:rsidRPr="00E45A1D" w:rsidRDefault="3650A52B"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Evidence nakoupené</w:t>
      </w:r>
      <w:r w:rsidR="00A7481A" w:rsidRPr="00E45A1D">
        <w:rPr>
          <w:rFonts w:ascii="Verdana" w:eastAsia="Verdana" w:hAnsi="Verdana" w:cs="Verdana"/>
        </w:rPr>
        <w:t xml:space="preserve"> tepelné energie</w:t>
      </w:r>
    </w:p>
    <w:p w14:paraId="2AB608B9" w14:textId="123DEBD6" w:rsidR="00A7481A" w:rsidRPr="00E45A1D" w:rsidRDefault="00CA26C6"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Spotřeba vody pro centralizovanou přípravu teplé vody</w:t>
      </w:r>
    </w:p>
    <w:p w14:paraId="0412188D" w14:textId="1EF022E8" w:rsidR="00783E4A" w:rsidRPr="00E45A1D" w:rsidRDefault="00F17B52"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Rozúčtování a vyúčtování nákladů spojených s užíváním bytů a nebytových prostorů – plyn, teplo a voda</w:t>
      </w:r>
    </w:p>
    <w:p w14:paraId="02105E78" w14:textId="20080792" w:rsidR="00CF6B68" w:rsidRPr="00E45A1D" w:rsidRDefault="71E88B60"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 xml:space="preserve">Formuláře </w:t>
      </w:r>
    </w:p>
    <w:p w14:paraId="15C7B2DF" w14:textId="26D15D8F" w:rsidR="00CF6B68" w:rsidRPr="00E45A1D" w:rsidRDefault="00CF6B68" w:rsidP="004E6937">
      <w:pPr>
        <w:pStyle w:val="Odstavecseseznamem"/>
        <w:numPr>
          <w:ilvl w:val="1"/>
          <w:numId w:val="28"/>
        </w:numPr>
        <w:jc w:val="both"/>
        <w:rPr>
          <w:rFonts w:ascii="Verdana" w:eastAsia="Verdana" w:hAnsi="Verdana" w:cs="Verdana"/>
        </w:rPr>
      </w:pPr>
      <w:r w:rsidRPr="00E45A1D">
        <w:rPr>
          <w:rFonts w:ascii="Verdana" w:eastAsia="Verdana" w:hAnsi="Verdana" w:cs="Verdana"/>
        </w:rPr>
        <w:t>Reporty</w:t>
      </w:r>
    </w:p>
    <w:p w14:paraId="460F91D4" w14:textId="3DBAA945" w:rsidR="2FC8C811" w:rsidRDefault="2FC8C811" w:rsidP="2FC8C811">
      <w:pPr>
        <w:ind w:left="1416"/>
        <w:jc w:val="both"/>
        <w:rPr>
          <w:rFonts w:ascii="Verdana" w:eastAsia="Verdana" w:hAnsi="Verdana" w:cs="Verdana"/>
        </w:rPr>
      </w:pPr>
    </w:p>
    <w:p w14:paraId="36BC7AA5" w14:textId="4547663D" w:rsidR="002754D1" w:rsidRDefault="0079708E" w:rsidP="008C71C6">
      <w:pPr>
        <w:pStyle w:val="Nadpis2"/>
        <w:spacing w:before="200" w:line="276" w:lineRule="auto"/>
        <w:jc w:val="both"/>
        <w:rPr>
          <w:rFonts w:ascii="Verdana" w:eastAsia="Verdana" w:hAnsi="Verdana" w:cs="Verdana"/>
          <w:bCs/>
          <w:color w:val="4F81BD"/>
          <w:sz w:val="26"/>
          <w:szCs w:val="26"/>
        </w:rPr>
      </w:pPr>
      <w:r>
        <w:rPr>
          <w:rFonts w:ascii="Verdana" w:eastAsia="Verdana" w:hAnsi="Verdana" w:cs="Verdana"/>
          <w:bCs/>
          <w:color w:val="4F81BD"/>
          <w:sz w:val="26"/>
          <w:szCs w:val="26"/>
        </w:rPr>
        <w:t>Návrh</w:t>
      </w:r>
      <w:r w:rsidR="00FA2481">
        <w:rPr>
          <w:rFonts w:ascii="Verdana" w:eastAsia="Verdana" w:hAnsi="Verdana" w:cs="Verdana"/>
          <w:bCs/>
          <w:color w:val="4F81BD"/>
          <w:sz w:val="26"/>
          <w:szCs w:val="26"/>
        </w:rPr>
        <w:t xml:space="preserve"> harmonogramu realizace a nasazení v</w:t>
      </w:r>
      <w:r>
        <w:rPr>
          <w:rFonts w:ascii="Verdana" w:eastAsia="Verdana" w:hAnsi="Verdana" w:cs="Verdana"/>
          <w:bCs/>
          <w:color w:val="4F81BD"/>
          <w:sz w:val="26"/>
          <w:szCs w:val="26"/>
        </w:rPr>
        <w:t> </w:t>
      </w:r>
      <w:r w:rsidR="00FA2481">
        <w:rPr>
          <w:rFonts w:ascii="Verdana" w:eastAsia="Verdana" w:hAnsi="Verdana" w:cs="Verdana"/>
          <w:bCs/>
          <w:color w:val="4F81BD"/>
          <w:sz w:val="26"/>
          <w:szCs w:val="26"/>
        </w:rPr>
        <w:t>SŽ</w:t>
      </w:r>
    </w:p>
    <w:p w14:paraId="6A15C6BD" w14:textId="77777777" w:rsidR="0079708E" w:rsidRPr="0079708E" w:rsidRDefault="0079708E" w:rsidP="0079708E"/>
    <w:p w14:paraId="7FDC47C4" w14:textId="2AF5E770" w:rsidR="005E314A" w:rsidRPr="008C71C6" w:rsidRDefault="005E314A" w:rsidP="008C71C6">
      <w:pPr>
        <w:pStyle w:val="Nadpis2"/>
        <w:spacing w:before="200" w:line="276" w:lineRule="auto"/>
        <w:jc w:val="both"/>
        <w:rPr>
          <w:rFonts w:ascii="Verdana" w:eastAsia="Verdana" w:hAnsi="Verdana" w:cs="Verdana"/>
          <w:bCs/>
          <w:color w:val="4F81BD"/>
          <w:sz w:val="26"/>
          <w:szCs w:val="26"/>
        </w:rPr>
      </w:pPr>
      <w:r w:rsidRPr="008C71C6">
        <w:rPr>
          <w:rFonts w:ascii="Verdana" w:eastAsia="Verdana" w:hAnsi="Verdana" w:cs="Verdana"/>
          <w:bCs/>
          <w:color w:val="4F81BD"/>
          <w:sz w:val="26"/>
          <w:szCs w:val="26"/>
        </w:rPr>
        <w:t>Korespondence</w:t>
      </w:r>
    </w:p>
    <w:p w14:paraId="40BA234A" w14:textId="77777777" w:rsidR="005E314A" w:rsidRPr="005E314A" w:rsidRDefault="005E314A" w:rsidP="005E314A">
      <w:pPr>
        <w:jc w:val="both"/>
        <w:rPr>
          <w:rFonts w:ascii="Verdana" w:eastAsia="Verdana" w:hAnsi="Verdana" w:cs="Verdana"/>
        </w:rPr>
      </w:pPr>
      <w:r w:rsidRPr="005E314A">
        <w:rPr>
          <w:rFonts w:ascii="Verdana" w:eastAsia="Verdana" w:hAnsi="Verdana" w:cs="Verdana"/>
        </w:rPr>
        <w:t>Zanalyzovat a vytvořit cílový koncept pro korespondenci, kde by bylo implementováno napojení na tiskové služby a spisovou službu.</w:t>
      </w:r>
    </w:p>
    <w:p w14:paraId="3FE895BD" w14:textId="77777777" w:rsidR="005E314A" w:rsidRPr="008C71C6" w:rsidRDefault="005E314A" w:rsidP="008C71C6">
      <w:pPr>
        <w:pStyle w:val="Nadpis2"/>
        <w:spacing w:before="200" w:line="276" w:lineRule="auto"/>
        <w:jc w:val="both"/>
        <w:rPr>
          <w:rFonts w:ascii="Verdana" w:eastAsia="Verdana" w:hAnsi="Verdana" w:cs="Verdana"/>
          <w:bCs/>
          <w:color w:val="4F81BD"/>
          <w:sz w:val="26"/>
          <w:szCs w:val="26"/>
        </w:rPr>
      </w:pPr>
      <w:r w:rsidRPr="008C71C6">
        <w:rPr>
          <w:rFonts w:ascii="Verdana" w:eastAsia="Verdana" w:hAnsi="Verdana" w:cs="Verdana"/>
          <w:bCs/>
          <w:color w:val="4F81BD"/>
          <w:sz w:val="26"/>
          <w:szCs w:val="26"/>
        </w:rPr>
        <w:t>Reporting ZVN</w:t>
      </w:r>
    </w:p>
    <w:p w14:paraId="58C554EA" w14:textId="77777777" w:rsidR="005E314A" w:rsidRDefault="005E314A" w:rsidP="005E314A">
      <w:pPr>
        <w:jc w:val="both"/>
        <w:rPr>
          <w:rFonts w:ascii="Verdana" w:eastAsia="Verdana" w:hAnsi="Verdana" w:cs="Verdana"/>
        </w:rPr>
      </w:pPr>
      <w:r w:rsidRPr="005E314A">
        <w:rPr>
          <w:rFonts w:ascii="Verdana" w:eastAsia="Verdana" w:hAnsi="Verdana" w:cs="Verdana"/>
        </w:rPr>
        <w:t>Doporučit nastavení ve stávajících reportech.</w:t>
      </w:r>
    </w:p>
    <w:p w14:paraId="79D8844C" w14:textId="793241BE" w:rsidR="004F08E4" w:rsidRPr="008C71C6" w:rsidRDefault="004F08E4" w:rsidP="004F08E4">
      <w:pPr>
        <w:pStyle w:val="Nadpis2"/>
        <w:spacing w:before="200" w:line="276" w:lineRule="auto"/>
        <w:jc w:val="both"/>
        <w:rPr>
          <w:rFonts w:ascii="Verdana" w:eastAsia="Verdana" w:hAnsi="Verdana" w:cs="Verdana"/>
          <w:bCs/>
          <w:color w:val="4F81BD"/>
          <w:sz w:val="26"/>
          <w:szCs w:val="26"/>
        </w:rPr>
      </w:pPr>
      <w:r w:rsidRPr="008C71C6">
        <w:rPr>
          <w:rFonts w:ascii="Verdana" w:eastAsia="Verdana" w:hAnsi="Verdana" w:cs="Verdana"/>
          <w:bCs/>
          <w:color w:val="4F81BD"/>
          <w:sz w:val="26"/>
          <w:szCs w:val="26"/>
        </w:rPr>
        <w:t xml:space="preserve">Reporting </w:t>
      </w:r>
      <w:r w:rsidR="006C2375">
        <w:rPr>
          <w:rFonts w:ascii="Verdana" w:eastAsia="Verdana" w:hAnsi="Verdana" w:cs="Verdana"/>
          <w:bCs/>
          <w:color w:val="4F81BD"/>
          <w:sz w:val="26"/>
          <w:szCs w:val="26"/>
        </w:rPr>
        <w:t>výpočtu tepla</w:t>
      </w:r>
    </w:p>
    <w:p w14:paraId="2CB36939" w14:textId="4216B1FA" w:rsidR="004F08E4" w:rsidRPr="005E314A" w:rsidRDefault="006C2375" w:rsidP="005E314A">
      <w:pPr>
        <w:jc w:val="both"/>
        <w:rPr>
          <w:rFonts w:ascii="Verdana" w:eastAsia="Verdana" w:hAnsi="Verdana" w:cs="Verdana"/>
        </w:rPr>
      </w:pPr>
      <w:r>
        <w:rPr>
          <w:rFonts w:ascii="Verdana" w:eastAsia="Verdana" w:hAnsi="Verdana" w:cs="Verdana"/>
        </w:rPr>
        <w:t>Navrhnout</w:t>
      </w:r>
      <w:r w:rsidR="00127FF4">
        <w:rPr>
          <w:rFonts w:ascii="Verdana" w:eastAsia="Verdana" w:hAnsi="Verdana" w:cs="Verdana"/>
        </w:rPr>
        <w:t xml:space="preserve"> prostředí</w:t>
      </w:r>
      <w:r w:rsidR="00A85DE4">
        <w:rPr>
          <w:rFonts w:ascii="Verdana" w:eastAsia="Verdana" w:hAnsi="Verdana" w:cs="Verdana"/>
        </w:rPr>
        <w:t xml:space="preserve"> reportování výpočtu a evidence tepla</w:t>
      </w:r>
      <w:r w:rsidR="004F08E4" w:rsidRPr="005E314A">
        <w:rPr>
          <w:rFonts w:ascii="Verdana" w:eastAsia="Verdana" w:hAnsi="Verdana" w:cs="Verdana"/>
        </w:rPr>
        <w:t>.</w:t>
      </w:r>
    </w:p>
    <w:p w14:paraId="25578C5F" w14:textId="77777777" w:rsidR="005E314A" w:rsidRPr="008C71C6" w:rsidRDefault="005E314A" w:rsidP="008C71C6">
      <w:pPr>
        <w:pStyle w:val="Nadpis2"/>
        <w:spacing w:before="200" w:line="276" w:lineRule="auto"/>
        <w:jc w:val="both"/>
        <w:rPr>
          <w:rFonts w:ascii="Verdana" w:eastAsia="Verdana" w:hAnsi="Verdana" w:cs="Verdana"/>
          <w:bCs/>
          <w:color w:val="4F81BD"/>
          <w:sz w:val="26"/>
          <w:szCs w:val="26"/>
        </w:rPr>
      </w:pPr>
      <w:r w:rsidRPr="008C71C6">
        <w:rPr>
          <w:rFonts w:ascii="Verdana" w:eastAsia="Verdana" w:hAnsi="Verdana" w:cs="Verdana"/>
          <w:bCs/>
          <w:color w:val="4F81BD"/>
          <w:sz w:val="26"/>
          <w:szCs w:val="26"/>
        </w:rPr>
        <w:t>Rizika a opatření</w:t>
      </w:r>
    </w:p>
    <w:p w14:paraId="5953C8EC" w14:textId="2AB0D98D" w:rsidR="001045CE" w:rsidRDefault="005E314A" w:rsidP="005E314A">
      <w:pPr>
        <w:jc w:val="both"/>
        <w:rPr>
          <w:rFonts w:ascii="Verdana" w:eastAsia="Verdana" w:hAnsi="Verdana" w:cs="Verdana"/>
        </w:rPr>
      </w:pPr>
      <w:r w:rsidRPr="005E314A">
        <w:rPr>
          <w:rFonts w:ascii="Verdana" w:eastAsia="Verdana" w:hAnsi="Verdana" w:cs="Verdana"/>
        </w:rPr>
        <w:t>Zanalyzovat případná rizika a navrhnout protiopatření.</w:t>
      </w:r>
    </w:p>
    <w:p w14:paraId="08CA1E37" w14:textId="174DB976" w:rsidR="00E80840" w:rsidRPr="00D23CA6" w:rsidRDefault="00E80840" w:rsidP="00D23CA6">
      <w:pPr>
        <w:pStyle w:val="Nadpis2"/>
        <w:spacing w:before="200" w:line="276" w:lineRule="auto"/>
        <w:jc w:val="both"/>
        <w:rPr>
          <w:rFonts w:ascii="Verdana" w:eastAsia="Verdana" w:hAnsi="Verdana" w:cs="Verdana"/>
          <w:bCs/>
          <w:color w:val="4F81BD"/>
          <w:sz w:val="26"/>
          <w:szCs w:val="26"/>
        </w:rPr>
      </w:pPr>
      <w:r w:rsidRPr="00D23CA6">
        <w:rPr>
          <w:rFonts w:ascii="Verdana" w:eastAsia="Verdana" w:hAnsi="Verdana" w:cs="Verdana"/>
          <w:bCs/>
          <w:color w:val="4F81BD"/>
          <w:sz w:val="26"/>
          <w:szCs w:val="26"/>
        </w:rPr>
        <w:t>Odhad pracnosti v</w:t>
      </w:r>
      <w:r w:rsidR="00D23CA6" w:rsidRPr="00D23CA6">
        <w:rPr>
          <w:rFonts w:ascii="Verdana" w:eastAsia="Verdana" w:hAnsi="Verdana" w:cs="Verdana"/>
          <w:bCs/>
          <w:color w:val="4F81BD"/>
          <w:sz w:val="26"/>
          <w:szCs w:val="26"/>
        </w:rPr>
        <w:t> </w:t>
      </w:r>
      <w:r w:rsidRPr="00D23CA6">
        <w:rPr>
          <w:rFonts w:ascii="Verdana" w:eastAsia="Verdana" w:hAnsi="Verdana" w:cs="Verdana"/>
          <w:bCs/>
          <w:color w:val="4F81BD"/>
          <w:sz w:val="26"/>
          <w:szCs w:val="26"/>
        </w:rPr>
        <w:t>MD</w:t>
      </w:r>
    </w:p>
    <w:p w14:paraId="4139489D" w14:textId="77777777" w:rsidR="00D23CA6" w:rsidRDefault="00D23CA6" w:rsidP="005E314A">
      <w:pPr>
        <w:jc w:val="both"/>
        <w:rPr>
          <w:rFonts w:ascii="Verdana" w:eastAsia="Verdana" w:hAnsi="Verdana" w:cs="Verdana"/>
        </w:rPr>
      </w:pPr>
    </w:p>
    <w:p w14:paraId="2CA1DEDC" w14:textId="4FF0B815" w:rsidR="005E314A" w:rsidRDefault="005E314A" w:rsidP="402BB40A">
      <w:pPr>
        <w:jc w:val="both"/>
        <w:rPr>
          <w:rFonts w:ascii="Verdana" w:eastAsia="Verdana" w:hAnsi="Verdana" w:cs="Verdana"/>
        </w:rPr>
      </w:pPr>
    </w:p>
    <w:p w14:paraId="5DE7B351" w14:textId="77777777" w:rsidR="00024838" w:rsidRDefault="00024838" w:rsidP="6CDAD888">
      <w:pPr>
        <w:spacing w:after="0" w:line="240" w:lineRule="auto"/>
        <w:rPr>
          <w:rFonts w:asciiTheme="majorHAnsi" w:eastAsiaTheme="majorEastAsia" w:hAnsiTheme="majorHAnsi" w:cstheme="majorBidi"/>
          <w:color w:val="FF5200" w:themeColor="accent2"/>
          <w:spacing w:val="-6"/>
          <w:sz w:val="36"/>
          <w:szCs w:val="36"/>
        </w:rPr>
      </w:pPr>
    </w:p>
    <w:p w14:paraId="5D578839" w14:textId="27C4D157" w:rsidR="002A4AC5" w:rsidRDefault="008969DF" w:rsidP="402BB40A">
      <w:pPr>
        <w:spacing w:after="0" w:line="240" w:lineRule="auto"/>
        <w:rPr>
          <w:rFonts w:asciiTheme="majorHAnsi" w:eastAsiaTheme="majorEastAsia" w:hAnsiTheme="majorHAnsi" w:cstheme="majorBidi"/>
          <w:b/>
          <w:bCs/>
          <w:color w:val="FF5200" w:themeColor="accent2"/>
          <w:spacing w:val="-6"/>
          <w:sz w:val="32"/>
          <w:szCs w:val="32"/>
        </w:rPr>
      </w:pPr>
      <w:r w:rsidRPr="402BB40A">
        <w:rPr>
          <w:rFonts w:asciiTheme="majorHAnsi" w:eastAsiaTheme="majorEastAsia" w:hAnsiTheme="majorHAnsi" w:cstheme="majorBidi"/>
          <w:b/>
          <w:bCs/>
          <w:color w:val="FF5200" w:themeColor="accent2"/>
          <w:spacing w:val="-6"/>
          <w:sz w:val="32"/>
          <w:szCs w:val="32"/>
        </w:rPr>
        <w:lastRenderedPageBreak/>
        <w:t>1</w:t>
      </w:r>
      <w:r w:rsidR="7501E7C3" w:rsidRPr="402BB40A">
        <w:rPr>
          <w:rFonts w:asciiTheme="majorHAnsi" w:eastAsiaTheme="majorEastAsia" w:hAnsiTheme="majorHAnsi" w:cstheme="majorBidi"/>
          <w:b/>
          <w:bCs/>
          <w:color w:val="FF5200" w:themeColor="accent2"/>
          <w:spacing w:val="-6"/>
          <w:sz w:val="32"/>
          <w:szCs w:val="32"/>
        </w:rPr>
        <w:t>0</w:t>
      </w:r>
      <w:r w:rsidR="002A4AC5" w:rsidRPr="402BB40A">
        <w:rPr>
          <w:rFonts w:asciiTheme="majorHAnsi" w:eastAsiaTheme="majorEastAsia" w:hAnsiTheme="majorHAnsi" w:cstheme="majorBidi"/>
          <w:b/>
          <w:bCs/>
          <w:color w:val="FF5200" w:themeColor="accent2"/>
          <w:spacing w:val="-6"/>
          <w:sz w:val="32"/>
          <w:szCs w:val="32"/>
        </w:rPr>
        <w:t xml:space="preserve">) Dodávka konzultantských a programátorských prací pro modul SAP </w:t>
      </w:r>
      <w:r w:rsidR="002A4AC5" w:rsidRPr="00D42CC4">
        <w:rPr>
          <w:rFonts w:asciiTheme="majorHAnsi" w:eastAsiaTheme="majorEastAsia" w:hAnsiTheme="majorHAnsi" w:cstheme="majorBidi"/>
          <w:b/>
          <w:bCs/>
          <w:color w:val="FF5200" w:themeColor="accent2"/>
          <w:spacing w:val="-6"/>
          <w:sz w:val="32"/>
          <w:szCs w:val="32"/>
        </w:rPr>
        <w:t>RE-FX</w:t>
      </w:r>
    </w:p>
    <w:p w14:paraId="42EC89C5" w14:textId="77777777" w:rsidR="002A4AC5" w:rsidRDefault="002A4AC5" w:rsidP="6CDAD888">
      <w:pPr>
        <w:spacing w:after="0" w:line="240" w:lineRule="auto"/>
        <w:rPr>
          <w:rStyle w:val="ui-provider"/>
          <w:rFonts w:ascii="Aptos" w:eastAsia="Aptos" w:hAnsi="Aptos" w:cs="Aptos"/>
          <w:color w:val="000000" w:themeColor="text1"/>
          <w:sz w:val="22"/>
          <w:szCs w:val="22"/>
        </w:rPr>
      </w:pPr>
    </w:p>
    <w:p w14:paraId="187643A6" w14:textId="6EC62A81" w:rsidR="63058D87" w:rsidRDefault="63058D87" w:rsidP="002A4AC5">
      <w:pPr>
        <w:jc w:val="both"/>
        <w:rPr>
          <w:rFonts w:ascii="Verdana" w:eastAsia="Verdana" w:hAnsi="Verdana" w:cs="Verdana"/>
        </w:rPr>
      </w:pPr>
      <w:r>
        <w:t xml:space="preserve">Součástí dodávky je možná dodávka dodatečných konzultantských a programátorských prací v rámci podpory a optimalizace řešení či jeho dalšího rozvoje, testování, k opravování zjištěných chyb a dalších prací spojených s řešením v maximálním rozsahu až </w:t>
      </w:r>
      <w:r w:rsidR="000A2650">
        <w:t>40</w:t>
      </w:r>
      <w:r>
        <w:t xml:space="preserve"> MD (člověkodnů) přímo či nepřímo souvisejících prací, jejichž potřebu zákazník v době vypsání výběrového řízení nepředpokládal, a proto je nezahrnul do rozsahu tohoto zadání. Úpravy jsou součástí rozsahu projektu, přičemž je možné je realizovat i po spuštění ostrého provozu primární funkcionality, nejdéle však do </w:t>
      </w:r>
      <w:r w:rsidR="0010599A">
        <w:t>3</w:t>
      </w:r>
      <w:r w:rsidR="338B1D68">
        <w:t>0</w:t>
      </w:r>
      <w:r>
        <w:t>.</w:t>
      </w:r>
      <w:r w:rsidR="001E6A9C">
        <w:t> </w:t>
      </w:r>
      <w:r w:rsidR="700095B2">
        <w:t>4.</w:t>
      </w:r>
      <w:r w:rsidR="001E6A9C">
        <w:t> </w:t>
      </w:r>
      <w:r>
        <w:t>202</w:t>
      </w:r>
      <w:r w:rsidR="00AC0A9C">
        <w:t>6</w:t>
      </w:r>
      <w:r>
        <w:t xml:space="preserve"> měsíce od spuštění ostrého provozu primární funkcionality. Zákazník není povinen tento rozsah prací objednat. Čerpání tohoto rozsahu prací bude prostřednictvím jednotlivých objednávek na základě nabídky dodavatele, přičemž pracnost bude vykazována v hodinách. 1 MD odpovídá 8 hodinám.</w:t>
      </w:r>
    </w:p>
    <w:p w14:paraId="4283B1AF" w14:textId="77777777" w:rsidR="00AE75D6" w:rsidRPr="00AE75D6" w:rsidRDefault="00AE75D6" w:rsidP="39C91D97">
      <w:pPr>
        <w:rPr>
          <w:rFonts w:asciiTheme="majorHAnsi" w:eastAsiaTheme="majorEastAsia" w:hAnsiTheme="majorHAnsi" w:cstheme="majorBidi"/>
          <w:b/>
          <w:color w:val="FF5200" w:themeColor="accent2"/>
          <w:spacing w:val="-6"/>
          <w:sz w:val="36"/>
          <w:szCs w:val="36"/>
        </w:rPr>
      </w:pPr>
    </w:p>
    <w:sectPr w:rsidR="00AE75D6" w:rsidRPr="00AE75D6" w:rsidSect="0082380E">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F5BBC" w14:textId="77777777" w:rsidR="00483F78" w:rsidRDefault="00483F78" w:rsidP="00962258">
      <w:pPr>
        <w:spacing w:after="0" w:line="240" w:lineRule="auto"/>
      </w:pPr>
      <w:r>
        <w:separator/>
      </w:r>
    </w:p>
  </w:endnote>
  <w:endnote w:type="continuationSeparator" w:id="0">
    <w:p w14:paraId="70EEA4F8" w14:textId="77777777" w:rsidR="00483F78" w:rsidRDefault="00483F78" w:rsidP="00962258">
      <w:pPr>
        <w:spacing w:after="0" w:line="240" w:lineRule="auto"/>
      </w:pPr>
      <w:r>
        <w:continuationSeparator/>
      </w:r>
    </w:p>
  </w:endnote>
  <w:endnote w:type="continuationNotice" w:id="1">
    <w:p w14:paraId="232310D4" w14:textId="77777777" w:rsidR="00483F78" w:rsidRDefault="00483F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1A5D" w14:paraId="71F812BD" w14:textId="77777777" w:rsidTr="00D831A3">
      <w:tc>
        <w:tcPr>
          <w:tcW w:w="1361" w:type="dxa"/>
          <w:tcMar>
            <w:left w:w="0" w:type="dxa"/>
            <w:right w:w="0" w:type="dxa"/>
          </w:tcMar>
          <w:vAlign w:val="bottom"/>
        </w:tcPr>
        <w:p w14:paraId="5BCCF9E4" w14:textId="2CABBFAB" w:rsidR="00321A5D" w:rsidRPr="00B8518B" w:rsidRDefault="00321A5D"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EE3">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3EE3">
            <w:rPr>
              <w:rStyle w:val="slostrnky"/>
              <w:noProof/>
            </w:rPr>
            <w:t>16</w:t>
          </w:r>
          <w:r w:rsidRPr="00B8518B">
            <w:rPr>
              <w:rStyle w:val="slostrnky"/>
            </w:rPr>
            <w:fldChar w:fldCharType="end"/>
          </w:r>
        </w:p>
      </w:tc>
      <w:tc>
        <w:tcPr>
          <w:tcW w:w="3458" w:type="dxa"/>
          <w:shd w:val="clear" w:color="auto" w:fill="auto"/>
          <w:tcMar>
            <w:left w:w="0" w:type="dxa"/>
            <w:right w:w="0" w:type="dxa"/>
          </w:tcMar>
        </w:tcPr>
        <w:p w14:paraId="619B7F23" w14:textId="77777777" w:rsidR="00321A5D" w:rsidRDefault="00321A5D" w:rsidP="00B8518B">
          <w:pPr>
            <w:pStyle w:val="Zpat"/>
          </w:pPr>
        </w:p>
      </w:tc>
      <w:tc>
        <w:tcPr>
          <w:tcW w:w="2835" w:type="dxa"/>
          <w:shd w:val="clear" w:color="auto" w:fill="auto"/>
          <w:tcMar>
            <w:left w:w="0" w:type="dxa"/>
            <w:right w:w="0" w:type="dxa"/>
          </w:tcMar>
        </w:tcPr>
        <w:p w14:paraId="25693D5B" w14:textId="77777777" w:rsidR="00321A5D" w:rsidRDefault="00321A5D" w:rsidP="00B8518B">
          <w:pPr>
            <w:pStyle w:val="Zpat"/>
          </w:pPr>
        </w:p>
      </w:tc>
      <w:tc>
        <w:tcPr>
          <w:tcW w:w="2921" w:type="dxa"/>
        </w:tcPr>
        <w:p w14:paraId="51638527" w14:textId="77777777" w:rsidR="00321A5D" w:rsidRDefault="00321A5D" w:rsidP="00D831A3">
          <w:pPr>
            <w:pStyle w:val="Zpat"/>
          </w:pPr>
        </w:p>
      </w:tc>
    </w:tr>
  </w:tbl>
  <w:p w14:paraId="54F3DA3D" w14:textId="77777777" w:rsidR="00321A5D" w:rsidRPr="00B8518B" w:rsidRDefault="00321A5D" w:rsidP="00B8518B">
    <w:pPr>
      <w:pStyle w:val="Zpat"/>
      <w:rPr>
        <w:sz w:val="2"/>
        <w:szCs w:val="2"/>
      </w:rPr>
    </w:pPr>
    <w:r>
      <w:rPr>
        <w:noProof/>
        <w:sz w:val="2"/>
        <w:szCs w:val="2"/>
        <w:lang w:eastAsia="cs-CZ"/>
      </w:rPr>
      <mc:AlternateContent>
        <mc:Choice Requires="wps">
          <w:drawing>
            <wp:anchor distT="0" distB="0" distL="114300" distR="114300" simplePos="0" relativeHeight="251658241" behindDoc="1" locked="1" layoutInCell="1" allowOverlap="1" wp14:anchorId="426196D4" wp14:editId="34E42C1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CB23BF3">
            <v:line id="Straight Connector 3"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729BE5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307B54FB" wp14:editId="0677DBA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8265DF">
            <v:line id="Straight Connector 2"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6C2D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1A5D" w14:paraId="784267D7" w14:textId="77777777" w:rsidTr="00F1715C">
      <w:tc>
        <w:tcPr>
          <w:tcW w:w="1361" w:type="dxa"/>
          <w:tcMar>
            <w:left w:w="0" w:type="dxa"/>
            <w:right w:w="0" w:type="dxa"/>
          </w:tcMar>
          <w:vAlign w:val="bottom"/>
        </w:tcPr>
        <w:p w14:paraId="15CDD62F" w14:textId="34E54C29" w:rsidR="00321A5D" w:rsidRPr="00B8518B" w:rsidRDefault="00321A5D"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EE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3EE3">
            <w:rPr>
              <w:rStyle w:val="slostrnky"/>
              <w:noProof/>
            </w:rPr>
            <w:t>16</w:t>
          </w:r>
          <w:r w:rsidRPr="00B8518B">
            <w:rPr>
              <w:rStyle w:val="slostrnky"/>
            </w:rPr>
            <w:fldChar w:fldCharType="end"/>
          </w:r>
        </w:p>
      </w:tc>
      <w:tc>
        <w:tcPr>
          <w:tcW w:w="3458" w:type="dxa"/>
          <w:shd w:val="clear" w:color="auto" w:fill="auto"/>
          <w:tcMar>
            <w:left w:w="0" w:type="dxa"/>
            <w:right w:w="0" w:type="dxa"/>
          </w:tcMar>
        </w:tcPr>
        <w:p w14:paraId="149E7E80" w14:textId="5D4E60CE" w:rsidR="00321A5D" w:rsidRDefault="00321A5D" w:rsidP="00460660">
          <w:pPr>
            <w:pStyle w:val="Zpat"/>
          </w:pPr>
          <w:r>
            <w:t>Správa železnic, státní organizace</w:t>
          </w:r>
        </w:p>
        <w:p w14:paraId="1F67BB89" w14:textId="77777777" w:rsidR="00321A5D" w:rsidRDefault="00321A5D"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99231BC" w14:textId="77777777" w:rsidR="00321A5D" w:rsidRDefault="00321A5D" w:rsidP="00460660">
          <w:pPr>
            <w:pStyle w:val="Zpat"/>
          </w:pPr>
          <w:r>
            <w:t>Sídlo: Dlážděná 1003/7, 110 00 Praha 1</w:t>
          </w:r>
        </w:p>
        <w:p w14:paraId="288AF7A1" w14:textId="77777777" w:rsidR="00321A5D" w:rsidRDefault="00321A5D" w:rsidP="00460660">
          <w:pPr>
            <w:pStyle w:val="Zpat"/>
          </w:pPr>
          <w:r>
            <w:t>IČ: 709 94 234 DIČ: CZ 709 94 234</w:t>
          </w:r>
        </w:p>
        <w:p w14:paraId="764A9867" w14:textId="77777777" w:rsidR="00321A5D" w:rsidRDefault="00321A5D" w:rsidP="00460660">
          <w:pPr>
            <w:pStyle w:val="Zpat"/>
          </w:pPr>
          <w:r>
            <w:t>www.szdc.cz</w:t>
          </w:r>
        </w:p>
      </w:tc>
      <w:tc>
        <w:tcPr>
          <w:tcW w:w="2921" w:type="dxa"/>
        </w:tcPr>
        <w:p w14:paraId="26C59B1C" w14:textId="13CC2A23" w:rsidR="00321A5D" w:rsidRPr="00745CD4" w:rsidRDefault="00321A5D" w:rsidP="00B45E9E">
          <w:pPr>
            <w:pStyle w:val="Zpat"/>
            <w:rPr>
              <w:b/>
            </w:rPr>
          </w:pPr>
          <w:r w:rsidRPr="00745CD4">
            <w:rPr>
              <w:b/>
            </w:rPr>
            <w:t>Správa železniční telematiky</w:t>
          </w:r>
        </w:p>
        <w:p w14:paraId="05DC4609" w14:textId="5E1C9924" w:rsidR="00321A5D" w:rsidRPr="00745CD4" w:rsidRDefault="00321A5D" w:rsidP="00B45E9E">
          <w:pPr>
            <w:pStyle w:val="Zpat"/>
            <w:rPr>
              <w:b/>
            </w:rPr>
          </w:pPr>
          <w:r w:rsidRPr="00745CD4">
            <w:rPr>
              <w:b/>
            </w:rPr>
            <w:t>V Celnici 1028/10</w:t>
          </w:r>
        </w:p>
        <w:p w14:paraId="6E7777F8" w14:textId="77777777" w:rsidR="00321A5D" w:rsidRDefault="00321A5D" w:rsidP="00B45E9E">
          <w:pPr>
            <w:pStyle w:val="Zpat"/>
          </w:pPr>
          <w:r w:rsidRPr="00745CD4">
            <w:rPr>
              <w:b/>
            </w:rPr>
            <w:t>110 00 Praha 1</w:t>
          </w:r>
        </w:p>
      </w:tc>
    </w:tr>
  </w:tbl>
  <w:p w14:paraId="2696A1F6" w14:textId="77777777" w:rsidR="00321A5D" w:rsidRPr="00B8518B" w:rsidRDefault="00321A5D"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7AAC8DC1" wp14:editId="48C728F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6E946105">
            <v:line id="Straight Connector 7"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41A48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2" behindDoc="1" locked="1" layoutInCell="1" allowOverlap="1" wp14:anchorId="1B7C3FC3" wp14:editId="08A6EB1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70CA6FDC">
            <v:line id="Straight Connector 10"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09BF83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p>
  <w:p w14:paraId="7BD021C5" w14:textId="77777777" w:rsidR="00321A5D" w:rsidRPr="00460660" w:rsidRDefault="00321A5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7898E" w14:textId="77777777" w:rsidR="00483F78" w:rsidRDefault="00483F78" w:rsidP="00962258">
      <w:pPr>
        <w:spacing w:after="0" w:line="240" w:lineRule="auto"/>
      </w:pPr>
      <w:r>
        <w:separator/>
      </w:r>
    </w:p>
  </w:footnote>
  <w:footnote w:type="continuationSeparator" w:id="0">
    <w:p w14:paraId="027404FF" w14:textId="77777777" w:rsidR="00483F78" w:rsidRDefault="00483F78" w:rsidP="00962258">
      <w:pPr>
        <w:spacing w:after="0" w:line="240" w:lineRule="auto"/>
      </w:pPr>
      <w:r>
        <w:continuationSeparator/>
      </w:r>
    </w:p>
  </w:footnote>
  <w:footnote w:type="continuationNotice" w:id="1">
    <w:p w14:paraId="193248EA" w14:textId="77777777" w:rsidR="00483F78" w:rsidRDefault="00483F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1A5D" w14:paraId="1B2D9015" w14:textId="77777777" w:rsidTr="00C02D0A">
      <w:trPr>
        <w:trHeight w:hRule="exact" w:val="454"/>
      </w:trPr>
      <w:tc>
        <w:tcPr>
          <w:tcW w:w="1361" w:type="dxa"/>
          <w:tcMar>
            <w:top w:w="57" w:type="dxa"/>
            <w:left w:w="0" w:type="dxa"/>
            <w:right w:w="0" w:type="dxa"/>
          </w:tcMar>
        </w:tcPr>
        <w:p w14:paraId="178815F7" w14:textId="77777777" w:rsidR="00321A5D" w:rsidRPr="00B8518B" w:rsidRDefault="00321A5D" w:rsidP="00523EA7">
          <w:pPr>
            <w:pStyle w:val="Zpat"/>
            <w:rPr>
              <w:rStyle w:val="slostrnky"/>
            </w:rPr>
          </w:pPr>
        </w:p>
      </w:tc>
      <w:tc>
        <w:tcPr>
          <w:tcW w:w="3458" w:type="dxa"/>
          <w:shd w:val="clear" w:color="auto" w:fill="auto"/>
          <w:tcMar>
            <w:top w:w="57" w:type="dxa"/>
            <w:left w:w="0" w:type="dxa"/>
            <w:right w:w="0" w:type="dxa"/>
          </w:tcMar>
        </w:tcPr>
        <w:p w14:paraId="5ABF550F" w14:textId="77777777" w:rsidR="00321A5D" w:rsidRDefault="00321A5D" w:rsidP="00523EA7">
          <w:pPr>
            <w:pStyle w:val="Zpat"/>
          </w:pPr>
        </w:p>
      </w:tc>
      <w:tc>
        <w:tcPr>
          <w:tcW w:w="5698" w:type="dxa"/>
          <w:shd w:val="clear" w:color="auto" w:fill="auto"/>
          <w:tcMar>
            <w:top w:w="57" w:type="dxa"/>
            <w:left w:w="0" w:type="dxa"/>
            <w:right w:w="0" w:type="dxa"/>
          </w:tcMar>
        </w:tcPr>
        <w:p w14:paraId="792F005B" w14:textId="77777777" w:rsidR="00321A5D" w:rsidRPr="00D6163D" w:rsidRDefault="00321A5D" w:rsidP="00D6163D">
          <w:pPr>
            <w:pStyle w:val="Druhdokumentu"/>
          </w:pPr>
        </w:p>
      </w:tc>
    </w:tr>
  </w:tbl>
  <w:p w14:paraId="3DFD3432" w14:textId="77777777" w:rsidR="00321A5D" w:rsidRPr="00D6163D" w:rsidRDefault="00321A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1A5D" w14:paraId="6E8C93E0" w14:textId="77777777" w:rsidTr="00F1715C">
      <w:trPr>
        <w:trHeight w:hRule="exact" w:val="936"/>
      </w:trPr>
      <w:tc>
        <w:tcPr>
          <w:tcW w:w="1361" w:type="dxa"/>
          <w:tcMar>
            <w:left w:w="0" w:type="dxa"/>
            <w:right w:w="0" w:type="dxa"/>
          </w:tcMar>
        </w:tcPr>
        <w:p w14:paraId="199EA539" w14:textId="77777777" w:rsidR="00321A5D" w:rsidRDefault="00321A5D">
          <w:r w:rsidRPr="001D0A8C">
            <w:rPr>
              <w:noProof/>
              <w:lang w:eastAsia="cs-CZ"/>
            </w:rPr>
            <w:drawing>
              <wp:anchor distT="0" distB="0" distL="114300" distR="114300" simplePos="0" relativeHeight="251658244" behindDoc="0" locked="1" layoutInCell="1" allowOverlap="1" wp14:anchorId="3F317D0A" wp14:editId="6896C265">
                <wp:simplePos x="0" y="0"/>
                <wp:positionH relativeFrom="page">
                  <wp:posOffset>153035</wp:posOffset>
                </wp:positionH>
                <wp:positionV relativeFrom="page">
                  <wp:posOffset>34925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6353CD1" w14:textId="77777777" w:rsidR="00321A5D" w:rsidRDefault="00321A5D" w:rsidP="00FC6389">
          <w:pPr>
            <w:pStyle w:val="Zpat"/>
          </w:pPr>
        </w:p>
      </w:tc>
      <w:tc>
        <w:tcPr>
          <w:tcW w:w="5698" w:type="dxa"/>
          <w:shd w:val="clear" w:color="auto" w:fill="auto"/>
          <w:tcMar>
            <w:left w:w="0" w:type="dxa"/>
            <w:right w:w="0" w:type="dxa"/>
          </w:tcMar>
        </w:tcPr>
        <w:p w14:paraId="736B1835" w14:textId="77777777" w:rsidR="00321A5D" w:rsidRPr="00D6163D" w:rsidRDefault="00321A5D" w:rsidP="00FC6389">
          <w:pPr>
            <w:pStyle w:val="Druhdokumentu"/>
          </w:pPr>
        </w:p>
      </w:tc>
    </w:tr>
    <w:tr w:rsidR="00321A5D" w14:paraId="57192A0A" w14:textId="77777777" w:rsidTr="00F64786">
      <w:trPr>
        <w:trHeight w:hRule="exact" w:val="452"/>
      </w:trPr>
      <w:tc>
        <w:tcPr>
          <w:tcW w:w="1361" w:type="dxa"/>
          <w:tcMar>
            <w:left w:w="0" w:type="dxa"/>
            <w:right w:w="0" w:type="dxa"/>
          </w:tcMar>
        </w:tcPr>
        <w:p w14:paraId="2211E480" w14:textId="77777777" w:rsidR="00321A5D" w:rsidRDefault="00321A5D"/>
      </w:tc>
      <w:tc>
        <w:tcPr>
          <w:tcW w:w="3458" w:type="dxa"/>
          <w:shd w:val="clear" w:color="auto" w:fill="auto"/>
          <w:tcMar>
            <w:left w:w="0" w:type="dxa"/>
            <w:right w:w="0" w:type="dxa"/>
          </w:tcMar>
        </w:tcPr>
        <w:p w14:paraId="2377BA2C" w14:textId="77777777" w:rsidR="00321A5D" w:rsidRDefault="00321A5D" w:rsidP="00FC6389">
          <w:pPr>
            <w:pStyle w:val="Zpat"/>
          </w:pPr>
        </w:p>
      </w:tc>
      <w:tc>
        <w:tcPr>
          <w:tcW w:w="5698" w:type="dxa"/>
          <w:shd w:val="clear" w:color="auto" w:fill="auto"/>
          <w:tcMar>
            <w:left w:w="0" w:type="dxa"/>
            <w:right w:w="0" w:type="dxa"/>
          </w:tcMar>
        </w:tcPr>
        <w:p w14:paraId="432E0240" w14:textId="77777777" w:rsidR="00321A5D" w:rsidRDefault="00321A5D" w:rsidP="00FC6389">
          <w:pPr>
            <w:pStyle w:val="Druhdokumentu"/>
            <w:rPr>
              <w:noProof/>
            </w:rPr>
          </w:pPr>
        </w:p>
      </w:tc>
    </w:tr>
  </w:tbl>
  <w:p w14:paraId="7B6EA4D6" w14:textId="77777777" w:rsidR="00321A5D" w:rsidRPr="00D6163D" w:rsidRDefault="00321A5D" w:rsidP="00FC6389">
    <w:pPr>
      <w:pStyle w:val="Zhlav"/>
      <w:rPr>
        <w:sz w:val="8"/>
        <w:szCs w:val="8"/>
      </w:rPr>
    </w:pPr>
  </w:p>
  <w:p w14:paraId="5EB69276" w14:textId="77777777" w:rsidR="00321A5D" w:rsidRPr="00460660" w:rsidRDefault="00321A5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DA80B64"/>
    <w:multiLevelType w:val="hybridMultilevel"/>
    <w:tmpl w:val="B34043D8"/>
    <w:lvl w:ilvl="0" w:tplc="FFFFFFFF">
      <w:start w:val="1"/>
      <w:numFmt w:val="bullet"/>
      <w:lvlText w:val=""/>
      <w:lvlJc w:val="left"/>
      <w:pPr>
        <w:ind w:left="1065" w:hanging="705"/>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0A70E8"/>
    <w:multiLevelType w:val="hybridMultilevel"/>
    <w:tmpl w:val="8A4266CC"/>
    <w:lvl w:ilvl="0" w:tplc="864A63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D11C9"/>
    <w:multiLevelType w:val="hybridMultilevel"/>
    <w:tmpl w:val="B82028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0FCB97C"/>
    <w:multiLevelType w:val="hybridMultilevel"/>
    <w:tmpl w:val="CE74C644"/>
    <w:lvl w:ilvl="0" w:tplc="D926076E">
      <w:start w:val="1"/>
      <w:numFmt w:val="decimal"/>
      <w:lvlText w:val="%1."/>
      <w:lvlJc w:val="left"/>
      <w:pPr>
        <w:ind w:left="720" w:hanging="360"/>
      </w:pPr>
    </w:lvl>
    <w:lvl w:ilvl="1" w:tplc="7C6814C2">
      <w:start w:val="1"/>
      <w:numFmt w:val="lowerLetter"/>
      <w:lvlText w:val="%2."/>
      <w:lvlJc w:val="left"/>
      <w:pPr>
        <w:ind w:left="1440" w:hanging="360"/>
      </w:pPr>
    </w:lvl>
    <w:lvl w:ilvl="2" w:tplc="CF92D254">
      <w:start w:val="1"/>
      <w:numFmt w:val="lowerRoman"/>
      <w:lvlText w:val="%3."/>
      <w:lvlJc w:val="right"/>
      <w:pPr>
        <w:ind w:left="2160" w:hanging="180"/>
      </w:pPr>
    </w:lvl>
    <w:lvl w:ilvl="3" w:tplc="5AD88BD0">
      <w:start w:val="1"/>
      <w:numFmt w:val="decimal"/>
      <w:lvlText w:val="%4."/>
      <w:lvlJc w:val="left"/>
      <w:pPr>
        <w:ind w:left="2880" w:hanging="360"/>
      </w:pPr>
    </w:lvl>
    <w:lvl w:ilvl="4" w:tplc="4EFC89EC">
      <w:start w:val="1"/>
      <w:numFmt w:val="lowerLetter"/>
      <w:lvlText w:val="%5."/>
      <w:lvlJc w:val="left"/>
      <w:pPr>
        <w:ind w:left="3600" w:hanging="360"/>
      </w:pPr>
    </w:lvl>
    <w:lvl w:ilvl="5" w:tplc="9410A948">
      <w:start w:val="1"/>
      <w:numFmt w:val="lowerRoman"/>
      <w:lvlText w:val="%6."/>
      <w:lvlJc w:val="right"/>
      <w:pPr>
        <w:ind w:left="4320" w:hanging="180"/>
      </w:pPr>
    </w:lvl>
    <w:lvl w:ilvl="6" w:tplc="C0B0BE4A">
      <w:start w:val="1"/>
      <w:numFmt w:val="decimal"/>
      <w:lvlText w:val="%7."/>
      <w:lvlJc w:val="left"/>
      <w:pPr>
        <w:ind w:left="5040" w:hanging="360"/>
      </w:pPr>
    </w:lvl>
    <w:lvl w:ilvl="7" w:tplc="D4F8CE3A">
      <w:start w:val="1"/>
      <w:numFmt w:val="lowerLetter"/>
      <w:lvlText w:val="%8."/>
      <w:lvlJc w:val="left"/>
      <w:pPr>
        <w:ind w:left="5760" w:hanging="360"/>
      </w:pPr>
    </w:lvl>
    <w:lvl w:ilvl="8" w:tplc="394207B2">
      <w:start w:val="1"/>
      <w:numFmt w:val="lowerRoman"/>
      <w:lvlText w:val="%9."/>
      <w:lvlJc w:val="right"/>
      <w:pPr>
        <w:ind w:left="6480" w:hanging="180"/>
      </w:pPr>
    </w:lvl>
  </w:abstractNum>
  <w:abstractNum w:abstractNumId="6" w15:restartNumberingAfterBreak="0">
    <w:nsid w:val="23367ED7"/>
    <w:multiLevelType w:val="hybridMultilevel"/>
    <w:tmpl w:val="3FD8D24E"/>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2802C005"/>
    <w:multiLevelType w:val="hybridMultilevel"/>
    <w:tmpl w:val="7FB01994"/>
    <w:lvl w:ilvl="0" w:tplc="93DCC576">
      <w:start w:val="1"/>
      <w:numFmt w:val="decimal"/>
      <w:lvlText w:val="→"/>
      <w:lvlJc w:val="left"/>
      <w:pPr>
        <w:ind w:left="720" w:hanging="360"/>
      </w:pPr>
    </w:lvl>
    <w:lvl w:ilvl="1" w:tplc="EF82E0FA">
      <w:start w:val="1"/>
      <w:numFmt w:val="lowerLetter"/>
      <w:lvlText w:val="%2."/>
      <w:lvlJc w:val="left"/>
      <w:pPr>
        <w:ind w:left="1440" w:hanging="360"/>
      </w:pPr>
    </w:lvl>
    <w:lvl w:ilvl="2" w:tplc="741009E8">
      <w:start w:val="1"/>
      <w:numFmt w:val="lowerRoman"/>
      <w:lvlText w:val="%3."/>
      <w:lvlJc w:val="right"/>
      <w:pPr>
        <w:ind w:left="2160" w:hanging="180"/>
      </w:pPr>
    </w:lvl>
    <w:lvl w:ilvl="3" w:tplc="47B435DE">
      <w:start w:val="1"/>
      <w:numFmt w:val="decimal"/>
      <w:lvlText w:val="%4."/>
      <w:lvlJc w:val="left"/>
      <w:pPr>
        <w:ind w:left="2880" w:hanging="360"/>
      </w:pPr>
    </w:lvl>
    <w:lvl w:ilvl="4" w:tplc="05F2681E">
      <w:start w:val="1"/>
      <w:numFmt w:val="lowerLetter"/>
      <w:lvlText w:val="%5."/>
      <w:lvlJc w:val="left"/>
      <w:pPr>
        <w:ind w:left="3600" w:hanging="360"/>
      </w:pPr>
    </w:lvl>
    <w:lvl w:ilvl="5" w:tplc="BACCD806">
      <w:start w:val="1"/>
      <w:numFmt w:val="lowerRoman"/>
      <w:lvlText w:val="%6."/>
      <w:lvlJc w:val="right"/>
      <w:pPr>
        <w:ind w:left="4320" w:hanging="180"/>
      </w:pPr>
    </w:lvl>
    <w:lvl w:ilvl="6" w:tplc="10E8F12C">
      <w:start w:val="1"/>
      <w:numFmt w:val="decimal"/>
      <w:lvlText w:val="%7."/>
      <w:lvlJc w:val="left"/>
      <w:pPr>
        <w:ind w:left="5040" w:hanging="360"/>
      </w:pPr>
    </w:lvl>
    <w:lvl w:ilvl="7" w:tplc="EDDA6CF2">
      <w:start w:val="1"/>
      <w:numFmt w:val="lowerLetter"/>
      <w:lvlText w:val="%8."/>
      <w:lvlJc w:val="left"/>
      <w:pPr>
        <w:ind w:left="5760" w:hanging="360"/>
      </w:pPr>
    </w:lvl>
    <w:lvl w:ilvl="8" w:tplc="F80A4C0E">
      <w:start w:val="1"/>
      <w:numFmt w:val="lowerRoman"/>
      <w:lvlText w:val="%9."/>
      <w:lvlJc w:val="right"/>
      <w:pPr>
        <w:ind w:left="6480" w:hanging="180"/>
      </w:pPr>
    </w:lvl>
  </w:abstractNum>
  <w:abstractNum w:abstractNumId="8" w15:restartNumberingAfterBreak="0">
    <w:nsid w:val="28D934F7"/>
    <w:multiLevelType w:val="hybridMultilevel"/>
    <w:tmpl w:val="6AC69928"/>
    <w:lvl w:ilvl="0" w:tplc="C8C81A44">
      <w:start w:val="24"/>
      <w:numFmt w:val="bullet"/>
      <w:lvlText w:val="→"/>
      <w:lvlJc w:val="left"/>
      <w:pPr>
        <w:ind w:left="720" w:hanging="360"/>
      </w:pPr>
      <w:rPr>
        <w:rFonts w:ascii="Arial" w:eastAsia="Calibri"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324C5303"/>
    <w:multiLevelType w:val="hybridMultilevel"/>
    <w:tmpl w:val="D35850D2"/>
    <w:lvl w:ilvl="0" w:tplc="C8C81A44">
      <w:start w:val="24"/>
      <w:numFmt w:val="bullet"/>
      <w:lvlText w:val="→"/>
      <w:lvlJc w:val="left"/>
      <w:pPr>
        <w:ind w:left="720" w:hanging="360"/>
      </w:pPr>
      <w:rPr>
        <w:rFonts w:ascii="Arial" w:eastAsia="Calibr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6330C"/>
    <w:multiLevelType w:val="hybridMultilevel"/>
    <w:tmpl w:val="035070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35778C"/>
    <w:multiLevelType w:val="hybridMultilevel"/>
    <w:tmpl w:val="931E8EE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C042C3E"/>
    <w:multiLevelType w:val="hybridMultilevel"/>
    <w:tmpl w:val="14A2D8C0"/>
    <w:lvl w:ilvl="0" w:tplc="C8C81A44">
      <w:start w:val="24"/>
      <w:numFmt w:val="bullet"/>
      <w:lvlText w:val="→"/>
      <w:lvlJc w:val="left"/>
      <w:pPr>
        <w:ind w:left="720" w:hanging="360"/>
      </w:pPr>
      <w:rPr>
        <w:rFonts w:ascii="Arial" w:eastAsia="Calibri"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2607A8"/>
    <w:multiLevelType w:val="hybridMultilevel"/>
    <w:tmpl w:val="D8BE9F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6B56C0"/>
    <w:multiLevelType w:val="hybridMultilevel"/>
    <w:tmpl w:val="9880D2C6"/>
    <w:lvl w:ilvl="0" w:tplc="C8C81A44">
      <w:start w:val="24"/>
      <w:numFmt w:val="bullet"/>
      <w:lvlText w:val="→"/>
      <w:lvlJc w:val="left"/>
      <w:pPr>
        <w:ind w:left="720" w:hanging="360"/>
      </w:pPr>
      <w:rPr>
        <w:rFonts w:ascii="Arial" w:eastAsia="Calibr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4869CD"/>
    <w:multiLevelType w:val="hybridMultilevel"/>
    <w:tmpl w:val="931E8EEE"/>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571DCAF"/>
    <w:multiLevelType w:val="hybridMultilevel"/>
    <w:tmpl w:val="2B7EC932"/>
    <w:lvl w:ilvl="0" w:tplc="2314F7C2">
      <w:start w:val="1"/>
      <w:numFmt w:val="decimal"/>
      <w:lvlText w:val="→"/>
      <w:lvlJc w:val="left"/>
      <w:pPr>
        <w:ind w:left="720" w:hanging="360"/>
      </w:pPr>
    </w:lvl>
    <w:lvl w:ilvl="1" w:tplc="4E74189C">
      <w:start w:val="1"/>
      <w:numFmt w:val="lowerLetter"/>
      <w:lvlText w:val="%2."/>
      <w:lvlJc w:val="left"/>
      <w:pPr>
        <w:ind w:left="1440" w:hanging="360"/>
      </w:pPr>
    </w:lvl>
    <w:lvl w:ilvl="2" w:tplc="9942DE3A">
      <w:start w:val="1"/>
      <w:numFmt w:val="lowerRoman"/>
      <w:lvlText w:val="%3."/>
      <w:lvlJc w:val="right"/>
      <w:pPr>
        <w:ind w:left="2160" w:hanging="180"/>
      </w:pPr>
    </w:lvl>
    <w:lvl w:ilvl="3" w:tplc="EFF65A36">
      <w:start w:val="1"/>
      <w:numFmt w:val="decimal"/>
      <w:lvlText w:val="%4."/>
      <w:lvlJc w:val="left"/>
      <w:pPr>
        <w:ind w:left="2880" w:hanging="360"/>
      </w:pPr>
    </w:lvl>
    <w:lvl w:ilvl="4" w:tplc="469AD692">
      <w:start w:val="1"/>
      <w:numFmt w:val="lowerLetter"/>
      <w:lvlText w:val="%5."/>
      <w:lvlJc w:val="left"/>
      <w:pPr>
        <w:ind w:left="3600" w:hanging="360"/>
      </w:pPr>
    </w:lvl>
    <w:lvl w:ilvl="5" w:tplc="45F65CF2">
      <w:start w:val="1"/>
      <w:numFmt w:val="lowerRoman"/>
      <w:lvlText w:val="%6."/>
      <w:lvlJc w:val="right"/>
      <w:pPr>
        <w:ind w:left="4320" w:hanging="180"/>
      </w:pPr>
    </w:lvl>
    <w:lvl w:ilvl="6" w:tplc="0BF04282">
      <w:start w:val="1"/>
      <w:numFmt w:val="decimal"/>
      <w:lvlText w:val="%7."/>
      <w:lvlJc w:val="left"/>
      <w:pPr>
        <w:ind w:left="5040" w:hanging="360"/>
      </w:pPr>
    </w:lvl>
    <w:lvl w:ilvl="7" w:tplc="D23271EE">
      <w:start w:val="1"/>
      <w:numFmt w:val="lowerLetter"/>
      <w:lvlText w:val="%8."/>
      <w:lvlJc w:val="left"/>
      <w:pPr>
        <w:ind w:left="5760" w:hanging="360"/>
      </w:pPr>
    </w:lvl>
    <w:lvl w:ilvl="8" w:tplc="51FE12BA">
      <w:start w:val="1"/>
      <w:numFmt w:val="lowerRoman"/>
      <w:lvlText w:val="%9."/>
      <w:lvlJc w:val="right"/>
      <w:pPr>
        <w:ind w:left="6480" w:hanging="180"/>
      </w:pPr>
    </w:lvl>
  </w:abstractNum>
  <w:abstractNum w:abstractNumId="18" w15:restartNumberingAfterBreak="0">
    <w:nsid w:val="5EE13A66"/>
    <w:multiLevelType w:val="hybridMultilevel"/>
    <w:tmpl w:val="2E76BBF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11350FC"/>
    <w:multiLevelType w:val="hybridMultilevel"/>
    <w:tmpl w:val="AC4428D4"/>
    <w:lvl w:ilvl="0" w:tplc="FFFFFFFF">
      <w:numFmt w:val="bullet"/>
      <w:lvlText w:val="•"/>
      <w:lvlJc w:val="left"/>
      <w:pPr>
        <w:ind w:left="1065" w:hanging="705"/>
      </w:pPr>
      <w:rPr>
        <w:rFonts w:ascii="Verdana" w:eastAsia="Verdana" w:hAnsi="Verdana" w:cs="Verdana" w:hint="default"/>
      </w:rPr>
    </w:lvl>
    <w:lvl w:ilvl="1" w:tplc="04050017">
      <w:start w:val="1"/>
      <w:numFmt w:val="lowerLetter"/>
      <w:lvlText w:val="%2)"/>
      <w:lvlJc w:val="left"/>
      <w:pPr>
        <w:ind w:left="72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1BB7B6C"/>
    <w:multiLevelType w:val="hybridMultilevel"/>
    <w:tmpl w:val="3E4C70EC"/>
    <w:lvl w:ilvl="0" w:tplc="C8C81A44">
      <w:start w:val="24"/>
      <w:numFmt w:val="bullet"/>
      <w:lvlText w:val="→"/>
      <w:lvlJc w:val="left"/>
      <w:pPr>
        <w:ind w:left="720" w:hanging="360"/>
      </w:pPr>
      <w:rPr>
        <w:rFonts w:ascii="Arial" w:eastAsia="Calibri"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21173C0"/>
    <w:multiLevelType w:val="hybridMultilevel"/>
    <w:tmpl w:val="931E8EE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EB14A34"/>
    <w:multiLevelType w:val="hybridMultilevel"/>
    <w:tmpl w:val="42C03352"/>
    <w:lvl w:ilvl="0" w:tplc="FFFFFFFF">
      <w:start w:val="1"/>
      <w:numFmt w:val="bullet"/>
      <w:lvlText w:val="o"/>
      <w:lvlJc w:val="left"/>
      <w:pPr>
        <w:ind w:left="1068" w:hanging="360"/>
      </w:pPr>
      <w:rPr>
        <w:rFonts w:ascii="Courier New" w:hAnsi="Courier New" w:cs="Courier New" w:hint="default"/>
      </w:rPr>
    </w:lvl>
    <w:lvl w:ilvl="1" w:tplc="04050001">
      <w:start w:val="1"/>
      <w:numFmt w:val="bullet"/>
      <w:lvlText w:val=""/>
      <w:lvlJc w:val="left"/>
      <w:pPr>
        <w:ind w:left="1788" w:hanging="360"/>
      </w:pPr>
      <w:rPr>
        <w:rFonts w:ascii="Symbol" w:hAnsi="Symbo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3" w15:restartNumberingAfterBreak="0">
    <w:nsid w:val="6F205D5E"/>
    <w:multiLevelType w:val="hybridMultilevel"/>
    <w:tmpl w:val="FFA0477C"/>
    <w:lvl w:ilvl="0" w:tplc="103082D8">
      <w:numFmt w:val="bullet"/>
      <w:lvlText w:val=""/>
      <w:lvlJc w:val="left"/>
      <w:pPr>
        <w:ind w:left="1065" w:hanging="705"/>
      </w:pPr>
      <w:rPr>
        <w:rFonts w:ascii="Symbol" w:eastAsia="Verdana" w:hAnsi="Symbol"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14A48C5"/>
    <w:multiLevelType w:val="hybridMultilevel"/>
    <w:tmpl w:val="46EC2A68"/>
    <w:lvl w:ilvl="0" w:tplc="267E132E">
      <w:start w:val="1"/>
      <w:numFmt w:val="bullet"/>
      <w:lvlText w:val=""/>
      <w:lvlJc w:val="left"/>
      <w:pPr>
        <w:ind w:left="720" w:hanging="360"/>
      </w:pPr>
      <w:rPr>
        <w:rFonts w:ascii="Symbol" w:hAnsi="Symbol" w:hint="default"/>
      </w:rPr>
    </w:lvl>
    <w:lvl w:ilvl="1" w:tplc="24FC1924">
      <w:start w:val="1"/>
      <w:numFmt w:val="bullet"/>
      <w:lvlText w:val="o"/>
      <w:lvlJc w:val="left"/>
      <w:pPr>
        <w:ind w:left="1440" w:hanging="360"/>
      </w:pPr>
      <w:rPr>
        <w:rFonts w:ascii="Courier New" w:hAnsi="Courier New" w:hint="default"/>
      </w:rPr>
    </w:lvl>
    <w:lvl w:ilvl="2" w:tplc="D0A84512">
      <w:start w:val="1"/>
      <w:numFmt w:val="bullet"/>
      <w:lvlText w:val=""/>
      <w:lvlJc w:val="left"/>
      <w:pPr>
        <w:ind w:left="2160" w:hanging="360"/>
      </w:pPr>
      <w:rPr>
        <w:rFonts w:ascii="Wingdings" w:hAnsi="Wingdings" w:hint="default"/>
      </w:rPr>
    </w:lvl>
    <w:lvl w:ilvl="3" w:tplc="4ABC64FA">
      <w:start w:val="1"/>
      <w:numFmt w:val="bullet"/>
      <w:lvlText w:val=""/>
      <w:lvlJc w:val="left"/>
      <w:pPr>
        <w:ind w:left="2880" w:hanging="360"/>
      </w:pPr>
      <w:rPr>
        <w:rFonts w:ascii="Symbol" w:hAnsi="Symbol" w:hint="default"/>
      </w:rPr>
    </w:lvl>
    <w:lvl w:ilvl="4" w:tplc="515CBB60">
      <w:start w:val="1"/>
      <w:numFmt w:val="bullet"/>
      <w:lvlText w:val="o"/>
      <w:lvlJc w:val="left"/>
      <w:pPr>
        <w:ind w:left="3600" w:hanging="360"/>
      </w:pPr>
      <w:rPr>
        <w:rFonts w:ascii="Courier New" w:hAnsi="Courier New" w:hint="default"/>
      </w:rPr>
    </w:lvl>
    <w:lvl w:ilvl="5" w:tplc="C0D666D0">
      <w:start w:val="1"/>
      <w:numFmt w:val="bullet"/>
      <w:lvlText w:val=""/>
      <w:lvlJc w:val="left"/>
      <w:pPr>
        <w:ind w:left="4320" w:hanging="360"/>
      </w:pPr>
      <w:rPr>
        <w:rFonts w:ascii="Wingdings" w:hAnsi="Wingdings" w:hint="default"/>
      </w:rPr>
    </w:lvl>
    <w:lvl w:ilvl="6" w:tplc="CA606DE8">
      <w:start w:val="1"/>
      <w:numFmt w:val="bullet"/>
      <w:lvlText w:val=""/>
      <w:lvlJc w:val="left"/>
      <w:pPr>
        <w:ind w:left="5040" w:hanging="360"/>
      </w:pPr>
      <w:rPr>
        <w:rFonts w:ascii="Symbol" w:hAnsi="Symbol" w:hint="default"/>
      </w:rPr>
    </w:lvl>
    <w:lvl w:ilvl="7" w:tplc="CC986C74">
      <w:start w:val="1"/>
      <w:numFmt w:val="bullet"/>
      <w:lvlText w:val="o"/>
      <w:lvlJc w:val="left"/>
      <w:pPr>
        <w:ind w:left="5760" w:hanging="360"/>
      </w:pPr>
      <w:rPr>
        <w:rFonts w:ascii="Courier New" w:hAnsi="Courier New" w:hint="default"/>
      </w:rPr>
    </w:lvl>
    <w:lvl w:ilvl="8" w:tplc="365CD454">
      <w:start w:val="1"/>
      <w:numFmt w:val="bullet"/>
      <w:lvlText w:val=""/>
      <w:lvlJc w:val="left"/>
      <w:pPr>
        <w:ind w:left="6480" w:hanging="360"/>
      </w:pPr>
      <w:rPr>
        <w:rFonts w:ascii="Wingdings" w:hAnsi="Wingdings" w:hint="default"/>
      </w:rPr>
    </w:lvl>
  </w:abstractNum>
  <w:abstractNum w:abstractNumId="25" w15:restartNumberingAfterBreak="0">
    <w:nsid w:val="72F9E4AE"/>
    <w:multiLevelType w:val="hybridMultilevel"/>
    <w:tmpl w:val="2B3C17B6"/>
    <w:lvl w:ilvl="0" w:tplc="E0246BFA">
      <w:start w:val="1"/>
      <w:numFmt w:val="decimal"/>
      <w:lvlText w:val="→"/>
      <w:lvlJc w:val="left"/>
      <w:pPr>
        <w:ind w:left="720" w:hanging="360"/>
      </w:pPr>
    </w:lvl>
    <w:lvl w:ilvl="1" w:tplc="C4986E1E">
      <w:start w:val="1"/>
      <w:numFmt w:val="lowerLetter"/>
      <w:lvlText w:val="%2."/>
      <w:lvlJc w:val="left"/>
      <w:pPr>
        <w:ind w:left="1440" w:hanging="360"/>
      </w:pPr>
    </w:lvl>
    <w:lvl w:ilvl="2" w:tplc="147E8F36">
      <w:start w:val="1"/>
      <w:numFmt w:val="lowerRoman"/>
      <w:lvlText w:val="%3."/>
      <w:lvlJc w:val="right"/>
      <w:pPr>
        <w:ind w:left="2160" w:hanging="180"/>
      </w:pPr>
    </w:lvl>
    <w:lvl w:ilvl="3" w:tplc="6E3A25F6">
      <w:start w:val="1"/>
      <w:numFmt w:val="decimal"/>
      <w:lvlText w:val="%4."/>
      <w:lvlJc w:val="left"/>
      <w:pPr>
        <w:ind w:left="2880" w:hanging="360"/>
      </w:pPr>
    </w:lvl>
    <w:lvl w:ilvl="4" w:tplc="D53860EE">
      <w:start w:val="1"/>
      <w:numFmt w:val="lowerLetter"/>
      <w:lvlText w:val="%5."/>
      <w:lvlJc w:val="left"/>
      <w:pPr>
        <w:ind w:left="3600" w:hanging="360"/>
      </w:pPr>
    </w:lvl>
    <w:lvl w:ilvl="5" w:tplc="1C08A844">
      <w:start w:val="1"/>
      <w:numFmt w:val="lowerRoman"/>
      <w:lvlText w:val="%6."/>
      <w:lvlJc w:val="right"/>
      <w:pPr>
        <w:ind w:left="4320" w:hanging="180"/>
      </w:pPr>
    </w:lvl>
    <w:lvl w:ilvl="6" w:tplc="A6882AFE">
      <w:start w:val="1"/>
      <w:numFmt w:val="decimal"/>
      <w:lvlText w:val="%7."/>
      <w:lvlJc w:val="left"/>
      <w:pPr>
        <w:ind w:left="5040" w:hanging="360"/>
      </w:pPr>
    </w:lvl>
    <w:lvl w:ilvl="7" w:tplc="C3D676E6">
      <w:start w:val="1"/>
      <w:numFmt w:val="lowerLetter"/>
      <w:lvlText w:val="%8."/>
      <w:lvlJc w:val="left"/>
      <w:pPr>
        <w:ind w:left="5760" w:hanging="360"/>
      </w:pPr>
    </w:lvl>
    <w:lvl w:ilvl="8" w:tplc="DEA056F8">
      <w:start w:val="1"/>
      <w:numFmt w:val="lowerRoman"/>
      <w:lvlText w:val="%9."/>
      <w:lvlJc w:val="right"/>
      <w:pPr>
        <w:ind w:left="6480" w:hanging="180"/>
      </w:pPr>
    </w:lvl>
  </w:abstractNum>
  <w:abstractNum w:abstractNumId="26" w15:restartNumberingAfterBreak="0">
    <w:nsid w:val="74070991"/>
    <w:multiLevelType w:val="multilevel"/>
    <w:tmpl w:val="CABE99FC"/>
    <w:numStyleLink w:val="ListNumbermultilevel"/>
  </w:abstractNum>
  <w:abstractNum w:abstractNumId="27" w15:restartNumberingAfterBreak="0">
    <w:nsid w:val="79A92BE7"/>
    <w:multiLevelType w:val="hybridMultilevel"/>
    <w:tmpl w:val="48E85944"/>
    <w:lvl w:ilvl="0" w:tplc="FFFFFFFF">
      <w:numFmt w:val="bullet"/>
      <w:lvlText w:val="•"/>
      <w:lvlJc w:val="left"/>
      <w:pPr>
        <w:ind w:left="1065" w:hanging="705"/>
      </w:pPr>
      <w:rPr>
        <w:rFonts w:ascii="Verdana" w:eastAsia="Verdana" w:hAnsi="Verdana" w:cs="Verdana" w:hint="default"/>
      </w:rPr>
    </w:lvl>
    <w:lvl w:ilvl="1" w:tplc="0405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A42033B"/>
    <w:multiLevelType w:val="hybridMultilevel"/>
    <w:tmpl w:val="91BA0AA8"/>
    <w:lvl w:ilvl="0" w:tplc="1068A86A">
      <w:start w:val="1"/>
      <w:numFmt w:val="decimal"/>
      <w:lvlText w:val="→"/>
      <w:lvlJc w:val="left"/>
      <w:pPr>
        <w:ind w:left="720" w:hanging="360"/>
      </w:pPr>
    </w:lvl>
    <w:lvl w:ilvl="1" w:tplc="6AFE2D7C">
      <w:start w:val="1"/>
      <w:numFmt w:val="lowerLetter"/>
      <w:lvlText w:val="%2."/>
      <w:lvlJc w:val="left"/>
      <w:pPr>
        <w:ind w:left="1440" w:hanging="360"/>
      </w:pPr>
    </w:lvl>
    <w:lvl w:ilvl="2" w:tplc="7B5C1D58">
      <w:start w:val="1"/>
      <w:numFmt w:val="lowerRoman"/>
      <w:lvlText w:val="%3."/>
      <w:lvlJc w:val="right"/>
      <w:pPr>
        <w:ind w:left="2160" w:hanging="180"/>
      </w:pPr>
    </w:lvl>
    <w:lvl w:ilvl="3" w:tplc="1BE21BAE">
      <w:start w:val="1"/>
      <w:numFmt w:val="decimal"/>
      <w:lvlText w:val="%4."/>
      <w:lvlJc w:val="left"/>
      <w:pPr>
        <w:ind w:left="2880" w:hanging="360"/>
      </w:pPr>
    </w:lvl>
    <w:lvl w:ilvl="4" w:tplc="41386548">
      <w:start w:val="1"/>
      <w:numFmt w:val="lowerLetter"/>
      <w:lvlText w:val="%5."/>
      <w:lvlJc w:val="left"/>
      <w:pPr>
        <w:ind w:left="3600" w:hanging="360"/>
      </w:pPr>
    </w:lvl>
    <w:lvl w:ilvl="5" w:tplc="D92AB08A">
      <w:start w:val="1"/>
      <w:numFmt w:val="lowerRoman"/>
      <w:lvlText w:val="%6."/>
      <w:lvlJc w:val="right"/>
      <w:pPr>
        <w:ind w:left="4320" w:hanging="180"/>
      </w:pPr>
    </w:lvl>
    <w:lvl w:ilvl="6" w:tplc="304C56B0">
      <w:start w:val="1"/>
      <w:numFmt w:val="decimal"/>
      <w:lvlText w:val="%7."/>
      <w:lvlJc w:val="left"/>
      <w:pPr>
        <w:ind w:left="5040" w:hanging="360"/>
      </w:pPr>
    </w:lvl>
    <w:lvl w:ilvl="7" w:tplc="341EB370">
      <w:start w:val="1"/>
      <w:numFmt w:val="lowerLetter"/>
      <w:lvlText w:val="%8."/>
      <w:lvlJc w:val="left"/>
      <w:pPr>
        <w:ind w:left="5760" w:hanging="360"/>
      </w:pPr>
    </w:lvl>
    <w:lvl w:ilvl="8" w:tplc="50CADAB0">
      <w:start w:val="1"/>
      <w:numFmt w:val="lowerRoman"/>
      <w:lvlText w:val="%9."/>
      <w:lvlJc w:val="right"/>
      <w:pPr>
        <w:ind w:left="6480" w:hanging="180"/>
      </w:pPr>
    </w:lvl>
  </w:abstractNum>
  <w:abstractNum w:abstractNumId="29" w15:restartNumberingAfterBreak="0">
    <w:nsid w:val="7AFD1384"/>
    <w:multiLevelType w:val="hybridMultilevel"/>
    <w:tmpl w:val="3362B7AA"/>
    <w:lvl w:ilvl="0" w:tplc="864A63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995EDF"/>
    <w:multiLevelType w:val="hybridMultilevel"/>
    <w:tmpl w:val="BFE422E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6704235">
    <w:abstractNumId w:val="5"/>
  </w:num>
  <w:num w:numId="2" w16cid:durableId="1919485072">
    <w:abstractNumId w:val="25"/>
  </w:num>
  <w:num w:numId="3" w16cid:durableId="1505783524">
    <w:abstractNumId w:val="7"/>
  </w:num>
  <w:num w:numId="4" w16cid:durableId="482892600">
    <w:abstractNumId w:val="17"/>
  </w:num>
  <w:num w:numId="5" w16cid:durableId="922181262">
    <w:abstractNumId w:val="28"/>
  </w:num>
  <w:num w:numId="6" w16cid:durableId="481124808">
    <w:abstractNumId w:val="4"/>
  </w:num>
  <w:num w:numId="7" w16cid:durableId="1441947674">
    <w:abstractNumId w:val="0"/>
  </w:num>
  <w:num w:numId="8" w16cid:durableId="1455979024">
    <w:abstractNumId w:val="9"/>
  </w:num>
  <w:num w:numId="9" w16cid:durableId="1123499803">
    <w:abstractNumId w:val="26"/>
  </w:num>
  <w:num w:numId="10" w16cid:durableId="598174265">
    <w:abstractNumId w:val="13"/>
  </w:num>
  <w:num w:numId="11" w16cid:durableId="2013560801">
    <w:abstractNumId w:val="8"/>
  </w:num>
  <w:num w:numId="12" w16cid:durableId="2072651247">
    <w:abstractNumId w:val="29"/>
  </w:num>
  <w:num w:numId="13" w16cid:durableId="68306315">
    <w:abstractNumId w:val="2"/>
  </w:num>
  <w:num w:numId="14" w16cid:durableId="1311445306">
    <w:abstractNumId w:val="15"/>
  </w:num>
  <w:num w:numId="15" w16cid:durableId="1254586379">
    <w:abstractNumId w:val="20"/>
  </w:num>
  <w:num w:numId="16" w16cid:durableId="699017873">
    <w:abstractNumId w:val="10"/>
  </w:num>
  <w:num w:numId="17" w16cid:durableId="130949720">
    <w:abstractNumId w:val="14"/>
  </w:num>
  <w:num w:numId="18" w16cid:durableId="1308239083">
    <w:abstractNumId w:val="1"/>
  </w:num>
  <w:num w:numId="19" w16cid:durableId="1650936360">
    <w:abstractNumId w:val="6"/>
  </w:num>
  <w:num w:numId="20" w16cid:durableId="227813701">
    <w:abstractNumId w:val="23"/>
  </w:num>
  <w:num w:numId="21" w16cid:durableId="1926189338">
    <w:abstractNumId w:val="22"/>
  </w:num>
  <w:num w:numId="22" w16cid:durableId="1091271175">
    <w:abstractNumId w:val="11"/>
  </w:num>
  <w:num w:numId="23" w16cid:durableId="1872575535">
    <w:abstractNumId w:val="3"/>
  </w:num>
  <w:num w:numId="24" w16cid:durableId="974332244">
    <w:abstractNumId w:val="16"/>
  </w:num>
  <w:num w:numId="25" w16cid:durableId="1976133512">
    <w:abstractNumId w:val="27"/>
  </w:num>
  <w:num w:numId="26" w16cid:durableId="1187984964">
    <w:abstractNumId w:val="24"/>
  </w:num>
  <w:num w:numId="27" w16cid:durableId="2099669648">
    <w:abstractNumId w:val="18"/>
  </w:num>
  <w:num w:numId="28" w16cid:durableId="410977301">
    <w:abstractNumId w:val="19"/>
  </w:num>
  <w:num w:numId="29" w16cid:durableId="137458016">
    <w:abstractNumId w:val="12"/>
  </w:num>
  <w:num w:numId="30" w16cid:durableId="1807576968">
    <w:abstractNumId w:val="21"/>
  </w:num>
  <w:num w:numId="31" w16cid:durableId="346953041">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8BA"/>
    <w:rsid w:val="0000132E"/>
    <w:rsid w:val="000035E0"/>
    <w:rsid w:val="00004541"/>
    <w:rsid w:val="0000663B"/>
    <w:rsid w:val="000128AF"/>
    <w:rsid w:val="00020F3E"/>
    <w:rsid w:val="000211BE"/>
    <w:rsid w:val="00021CB0"/>
    <w:rsid w:val="00022C79"/>
    <w:rsid w:val="000239A2"/>
    <w:rsid w:val="00024838"/>
    <w:rsid w:val="0002498C"/>
    <w:rsid w:val="00025039"/>
    <w:rsid w:val="000266A8"/>
    <w:rsid w:val="000268BA"/>
    <w:rsid w:val="00026C4D"/>
    <w:rsid w:val="000322A7"/>
    <w:rsid w:val="00032D90"/>
    <w:rsid w:val="00033432"/>
    <w:rsid w:val="000347FB"/>
    <w:rsid w:val="00036130"/>
    <w:rsid w:val="000405A8"/>
    <w:rsid w:val="00041952"/>
    <w:rsid w:val="00041A1B"/>
    <w:rsid w:val="00041D70"/>
    <w:rsid w:val="000454F7"/>
    <w:rsid w:val="00046BAC"/>
    <w:rsid w:val="00050521"/>
    <w:rsid w:val="00052BA5"/>
    <w:rsid w:val="0005516B"/>
    <w:rsid w:val="00056520"/>
    <w:rsid w:val="0005658A"/>
    <w:rsid w:val="00061033"/>
    <w:rsid w:val="0006196E"/>
    <w:rsid w:val="00063EEA"/>
    <w:rsid w:val="00065B9E"/>
    <w:rsid w:val="00065ED1"/>
    <w:rsid w:val="0006608C"/>
    <w:rsid w:val="00066B52"/>
    <w:rsid w:val="00067C15"/>
    <w:rsid w:val="00072C1E"/>
    <w:rsid w:val="00073C8B"/>
    <w:rsid w:val="00075061"/>
    <w:rsid w:val="00080FFD"/>
    <w:rsid w:val="00081481"/>
    <w:rsid w:val="000851F6"/>
    <w:rsid w:val="00085400"/>
    <w:rsid w:val="00085F86"/>
    <w:rsid w:val="00086C36"/>
    <w:rsid w:val="0009362C"/>
    <w:rsid w:val="00093645"/>
    <w:rsid w:val="00094300"/>
    <w:rsid w:val="0009487B"/>
    <w:rsid w:val="00094C21"/>
    <w:rsid w:val="0009634B"/>
    <w:rsid w:val="0009653C"/>
    <w:rsid w:val="00096FFC"/>
    <w:rsid w:val="00097A6E"/>
    <w:rsid w:val="000A2650"/>
    <w:rsid w:val="000A3537"/>
    <w:rsid w:val="000A4C0F"/>
    <w:rsid w:val="000A7D53"/>
    <w:rsid w:val="000B146F"/>
    <w:rsid w:val="000B14B6"/>
    <w:rsid w:val="000B694D"/>
    <w:rsid w:val="000B6A8E"/>
    <w:rsid w:val="000B6F59"/>
    <w:rsid w:val="000B7907"/>
    <w:rsid w:val="000C341E"/>
    <w:rsid w:val="000C482C"/>
    <w:rsid w:val="000C6517"/>
    <w:rsid w:val="000C6B8A"/>
    <w:rsid w:val="000C7EA4"/>
    <w:rsid w:val="000D1F72"/>
    <w:rsid w:val="000D3F16"/>
    <w:rsid w:val="000D3FA5"/>
    <w:rsid w:val="000D478C"/>
    <w:rsid w:val="000E01DE"/>
    <w:rsid w:val="000E4F08"/>
    <w:rsid w:val="000E4FE0"/>
    <w:rsid w:val="000E525F"/>
    <w:rsid w:val="000E6616"/>
    <w:rsid w:val="000E6B2D"/>
    <w:rsid w:val="000F12AD"/>
    <w:rsid w:val="000F268B"/>
    <w:rsid w:val="000F3330"/>
    <w:rsid w:val="000F4832"/>
    <w:rsid w:val="000F4E01"/>
    <w:rsid w:val="000F686B"/>
    <w:rsid w:val="000F6AFF"/>
    <w:rsid w:val="000F72E4"/>
    <w:rsid w:val="001028F4"/>
    <w:rsid w:val="001039C0"/>
    <w:rsid w:val="00103C1E"/>
    <w:rsid w:val="00103FBA"/>
    <w:rsid w:val="00104284"/>
    <w:rsid w:val="001043FB"/>
    <w:rsid w:val="001045CE"/>
    <w:rsid w:val="00105141"/>
    <w:rsid w:val="001054D4"/>
    <w:rsid w:val="0010599A"/>
    <w:rsid w:val="00105D58"/>
    <w:rsid w:val="00111106"/>
    <w:rsid w:val="00114472"/>
    <w:rsid w:val="00114D64"/>
    <w:rsid w:val="00116D5F"/>
    <w:rsid w:val="00116E7C"/>
    <w:rsid w:val="00120A82"/>
    <w:rsid w:val="00120B33"/>
    <w:rsid w:val="001215BD"/>
    <w:rsid w:val="00121F5C"/>
    <w:rsid w:val="00124289"/>
    <w:rsid w:val="00125268"/>
    <w:rsid w:val="001262F7"/>
    <w:rsid w:val="00127FF4"/>
    <w:rsid w:val="0013136F"/>
    <w:rsid w:val="001318E4"/>
    <w:rsid w:val="0013298F"/>
    <w:rsid w:val="0013309A"/>
    <w:rsid w:val="00136B13"/>
    <w:rsid w:val="00142A3B"/>
    <w:rsid w:val="00145FFE"/>
    <w:rsid w:val="0015458E"/>
    <w:rsid w:val="001573F5"/>
    <w:rsid w:val="00161AA9"/>
    <w:rsid w:val="00165956"/>
    <w:rsid w:val="00166C7D"/>
    <w:rsid w:val="00167255"/>
    <w:rsid w:val="00167AA4"/>
    <w:rsid w:val="00170EC5"/>
    <w:rsid w:val="001711D3"/>
    <w:rsid w:val="00171CDA"/>
    <w:rsid w:val="001721A7"/>
    <w:rsid w:val="00172735"/>
    <w:rsid w:val="00173D7F"/>
    <w:rsid w:val="00173DC3"/>
    <w:rsid w:val="00174554"/>
    <w:rsid w:val="001747C1"/>
    <w:rsid w:val="00175851"/>
    <w:rsid w:val="00177568"/>
    <w:rsid w:val="001804B8"/>
    <w:rsid w:val="00181667"/>
    <w:rsid w:val="0018596A"/>
    <w:rsid w:val="00190AAA"/>
    <w:rsid w:val="00190D36"/>
    <w:rsid w:val="00191D94"/>
    <w:rsid w:val="00192574"/>
    <w:rsid w:val="00193AA6"/>
    <w:rsid w:val="00194EAC"/>
    <w:rsid w:val="0019533F"/>
    <w:rsid w:val="00196B91"/>
    <w:rsid w:val="001A58C8"/>
    <w:rsid w:val="001A78CC"/>
    <w:rsid w:val="001A7EFA"/>
    <w:rsid w:val="001B3588"/>
    <w:rsid w:val="001B37D0"/>
    <w:rsid w:val="001B6F19"/>
    <w:rsid w:val="001C379B"/>
    <w:rsid w:val="001C5AF2"/>
    <w:rsid w:val="001C628D"/>
    <w:rsid w:val="001D2686"/>
    <w:rsid w:val="001D487C"/>
    <w:rsid w:val="001D4AFC"/>
    <w:rsid w:val="001D73CF"/>
    <w:rsid w:val="001D77C1"/>
    <w:rsid w:val="001E2AA3"/>
    <w:rsid w:val="001E36A2"/>
    <w:rsid w:val="001E4A32"/>
    <w:rsid w:val="001E5717"/>
    <w:rsid w:val="001E6A9C"/>
    <w:rsid w:val="001E71FE"/>
    <w:rsid w:val="001F2845"/>
    <w:rsid w:val="001F61D9"/>
    <w:rsid w:val="001F6CDC"/>
    <w:rsid w:val="001F799B"/>
    <w:rsid w:val="00200DEA"/>
    <w:rsid w:val="002036D4"/>
    <w:rsid w:val="00203789"/>
    <w:rsid w:val="0020415C"/>
    <w:rsid w:val="002071B1"/>
    <w:rsid w:val="00207A7C"/>
    <w:rsid w:val="00207DF5"/>
    <w:rsid w:val="002137E6"/>
    <w:rsid w:val="002148D2"/>
    <w:rsid w:val="00222DD2"/>
    <w:rsid w:val="00223685"/>
    <w:rsid w:val="002252AC"/>
    <w:rsid w:val="002264BF"/>
    <w:rsid w:val="0023261C"/>
    <w:rsid w:val="00232E8B"/>
    <w:rsid w:val="00233630"/>
    <w:rsid w:val="002353E8"/>
    <w:rsid w:val="002358DA"/>
    <w:rsid w:val="002374BA"/>
    <w:rsid w:val="00244394"/>
    <w:rsid w:val="00246746"/>
    <w:rsid w:val="00247311"/>
    <w:rsid w:val="002473CA"/>
    <w:rsid w:val="00247828"/>
    <w:rsid w:val="00250A85"/>
    <w:rsid w:val="00252262"/>
    <w:rsid w:val="0025380E"/>
    <w:rsid w:val="00253DF1"/>
    <w:rsid w:val="002614AE"/>
    <w:rsid w:val="0026182A"/>
    <w:rsid w:val="00262376"/>
    <w:rsid w:val="00263794"/>
    <w:rsid w:val="002639EC"/>
    <w:rsid w:val="00264F6C"/>
    <w:rsid w:val="00265096"/>
    <w:rsid w:val="0026785D"/>
    <w:rsid w:val="00273185"/>
    <w:rsid w:val="002754D1"/>
    <w:rsid w:val="00276BD1"/>
    <w:rsid w:val="00282320"/>
    <w:rsid w:val="0028235A"/>
    <w:rsid w:val="002841B4"/>
    <w:rsid w:val="00285251"/>
    <w:rsid w:val="002901F9"/>
    <w:rsid w:val="0029069A"/>
    <w:rsid w:val="002920B1"/>
    <w:rsid w:val="0029381D"/>
    <w:rsid w:val="002940C2"/>
    <w:rsid w:val="00296D2C"/>
    <w:rsid w:val="002A26D0"/>
    <w:rsid w:val="002A34AC"/>
    <w:rsid w:val="002A49EE"/>
    <w:rsid w:val="002A4AC5"/>
    <w:rsid w:val="002A682B"/>
    <w:rsid w:val="002A6FE2"/>
    <w:rsid w:val="002B2310"/>
    <w:rsid w:val="002B32AD"/>
    <w:rsid w:val="002B367B"/>
    <w:rsid w:val="002B3D2D"/>
    <w:rsid w:val="002B6377"/>
    <w:rsid w:val="002B6D47"/>
    <w:rsid w:val="002B7665"/>
    <w:rsid w:val="002B7DEE"/>
    <w:rsid w:val="002C050D"/>
    <w:rsid w:val="002C0884"/>
    <w:rsid w:val="002C0C90"/>
    <w:rsid w:val="002C1DDA"/>
    <w:rsid w:val="002C31BF"/>
    <w:rsid w:val="002C5572"/>
    <w:rsid w:val="002C5D2A"/>
    <w:rsid w:val="002D102B"/>
    <w:rsid w:val="002D12D1"/>
    <w:rsid w:val="002D1F00"/>
    <w:rsid w:val="002D42F6"/>
    <w:rsid w:val="002D6EF5"/>
    <w:rsid w:val="002D7EB8"/>
    <w:rsid w:val="002E0218"/>
    <w:rsid w:val="002E0506"/>
    <w:rsid w:val="002E0CD7"/>
    <w:rsid w:val="002E11AD"/>
    <w:rsid w:val="002E1C20"/>
    <w:rsid w:val="002E2C89"/>
    <w:rsid w:val="002E6519"/>
    <w:rsid w:val="002E65EC"/>
    <w:rsid w:val="002F0AAE"/>
    <w:rsid w:val="002F0D97"/>
    <w:rsid w:val="002F1DCA"/>
    <w:rsid w:val="002F1F1C"/>
    <w:rsid w:val="002F757D"/>
    <w:rsid w:val="00301FBD"/>
    <w:rsid w:val="003024DD"/>
    <w:rsid w:val="00303656"/>
    <w:rsid w:val="0030437F"/>
    <w:rsid w:val="00304E8A"/>
    <w:rsid w:val="00304FCC"/>
    <w:rsid w:val="00306A7A"/>
    <w:rsid w:val="00306C43"/>
    <w:rsid w:val="00306D10"/>
    <w:rsid w:val="00307F1C"/>
    <w:rsid w:val="0031110C"/>
    <w:rsid w:val="00313C92"/>
    <w:rsid w:val="003177D1"/>
    <w:rsid w:val="00321058"/>
    <w:rsid w:val="00321589"/>
    <w:rsid w:val="00321A5D"/>
    <w:rsid w:val="003220E6"/>
    <w:rsid w:val="00322AA1"/>
    <w:rsid w:val="00323E31"/>
    <w:rsid w:val="0032495A"/>
    <w:rsid w:val="00326078"/>
    <w:rsid w:val="00326A11"/>
    <w:rsid w:val="00327402"/>
    <w:rsid w:val="00331E28"/>
    <w:rsid w:val="003335C4"/>
    <w:rsid w:val="00334145"/>
    <w:rsid w:val="00334212"/>
    <w:rsid w:val="00335871"/>
    <w:rsid w:val="00335DB6"/>
    <w:rsid w:val="00336F12"/>
    <w:rsid w:val="00340127"/>
    <w:rsid w:val="00341B1F"/>
    <w:rsid w:val="00346A15"/>
    <w:rsid w:val="00351B6A"/>
    <w:rsid w:val="00354351"/>
    <w:rsid w:val="003564DB"/>
    <w:rsid w:val="00357BC6"/>
    <w:rsid w:val="0036127B"/>
    <w:rsid w:val="00361FC4"/>
    <w:rsid w:val="00363F46"/>
    <w:rsid w:val="00364298"/>
    <w:rsid w:val="00365368"/>
    <w:rsid w:val="00365D51"/>
    <w:rsid w:val="00370311"/>
    <w:rsid w:val="00373CD7"/>
    <w:rsid w:val="00374E57"/>
    <w:rsid w:val="0037594C"/>
    <w:rsid w:val="003761CC"/>
    <w:rsid w:val="00376AF4"/>
    <w:rsid w:val="00377D22"/>
    <w:rsid w:val="0038659A"/>
    <w:rsid w:val="00386D8D"/>
    <w:rsid w:val="00386E46"/>
    <w:rsid w:val="003914D3"/>
    <w:rsid w:val="00393017"/>
    <w:rsid w:val="00393E5F"/>
    <w:rsid w:val="00393FA1"/>
    <w:rsid w:val="00395168"/>
    <w:rsid w:val="003956C6"/>
    <w:rsid w:val="00395BAE"/>
    <w:rsid w:val="00396DB9"/>
    <w:rsid w:val="003A378A"/>
    <w:rsid w:val="003A65D7"/>
    <w:rsid w:val="003A7D15"/>
    <w:rsid w:val="003A7ED9"/>
    <w:rsid w:val="003A7F6D"/>
    <w:rsid w:val="003B1BDE"/>
    <w:rsid w:val="003B2271"/>
    <w:rsid w:val="003B486B"/>
    <w:rsid w:val="003B5842"/>
    <w:rsid w:val="003C17CB"/>
    <w:rsid w:val="003C2CE9"/>
    <w:rsid w:val="003C3039"/>
    <w:rsid w:val="003C43AF"/>
    <w:rsid w:val="003C5648"/>
    <w:rsid w:val="003D0B6B"/>
    <w:rsid w:val="003D1816"/>
    <w:rsid w:val="003D25AD"/>
    <w:rsid w:val="003D50B6"/>
    <w:rsid w:val="003D540B"/>
    <w:rsid w:val="003D662B"/>
    <w:rsid w:val="003D74F1"/>
    <w:rsid w:val="003E2104"/>
    <w:rsid w:val="003E2A11"/>
    <w:rsid w:val="003E3209"/>
    <w:rsid w:val="003E3B59"/>
    <w:rsid w:val="003E4058"/>
    <w:rsid w:val="003E4682"/>
    <w:rsid w:val="003E56D8"/>
    <w:rsid w:val="003E732A"/>
    <w:rsid w:val="003F25FE"/>
    <w:rsid w:val="003F48FF"/>
    <w:rsid w:val="003F633D"/>
    <w:rsid w:val="00400EE0"/>
    <w:rsid w:val="00403B59"/>
    <w:rsid w:val="00403F5B"/>
    <w:rsid w:val="00405865"/>
    <w:rsid w:val="0040616A"/>
    <w:rsid w:val="0040643E"/>
    <w:rsid w:val="00406D28"/>
    <w:rsid w:val="0041359B"/>
    <w:rsid w:val="00413F08"/>
    <w:rsid w:val="00414220"/>
    <w:rsid w:val="00415995"/>
    <w:rsid w:val="004216D6"/>
    <w:rsid w:val="004226C9"/>
    <w:rsid w:val="00425817"/>
    <w:rsid w:val="00426315"/>
    <w:rsid w:val="00426CF3"/>
    <w:rsid w:val="00433F15"/>
    <w:rsid w:val="00435606"/>
    <w:rsid w:val="0043751A"/>
    <w:rsid w:val="0044066E"/>
    <w:rsid w:val="00442654"/>
    <w:rsid w:val="00445B27"/>
    <w:rsid w:val="00446001"/>
    <w:rsid w:val="00447200"/>
    <w:rsid w:val="00447469"/>
    <w:rsid w:val="00447981"/>
    <w:rsid w:val="00447D62"/>
    <w:rsid w:val="00450CBD"/>
    <w:rsid w:val="00450F07"/>
    <w:rsid w:val="00451468"/>
    <w:rsid w:val="00451DAC"/>
    <w:rsid w:val="00453CD3"/>
    <w:rsid w:val="00453F82"/>
    <w:rsid w:val="00455359"/>
    <w:rsid w:val="00455BC7"/>
    <w:rsid w:val="00460660"/>
    <w:rsid w:val="00460CCB"/>
    <w:rsid w:val="00462ABB"/>
    <w:rsid w:val="00464AD1"/>
    <w:rsid w:val="00466842"/>
    <w:rsid w:val="00466A70"/>
    <w:rsid w:val="004676D5"/>
    <w:rsid w:val="0047015B"/>
    <w:rsid w:val="0047206D"/>
    <w:rsid w:val="00472A1E"/>
    <w:rsid w:val="00472C20"/>
    <w:rsid w:val="00473161"/>
    <w:rsid w:val="004758C3"/>
    <w:rsid w:val="00476362"/>
    <w:rsid w:val="00477370"/>
    <w:rsid w:val="00477869"/>
    <w:rsid w:val="00480829"/>
    <w:rsid w:val="00480BC3"/>
    <w:rsid w:val="00481134"/>
    <w:rsid w:val="00482557"/>
    <w:rsid w:val="00482877"/>
    <w:rsid w:val="00483F78"/>
    <w:rsid w:val="00484377"/>
    <w:rsid w:val="004857D7"/>
    <w:rsid w:val="00486107"/>
    <w:rsid w:val="00487984"/>
    <w:rsid w:val="00491827"/>
    <w:rsid w:val="0049258D"/>
    <w:rsid w:val="00493CE1"/>
    <w:rsid w:val="004A0814"/>
    <w:rsid w:val="004A1640"/>
    <w:rsid w:val="004A2E37"/>
    <w:rsid w:val="004A30CC"/>
    <w:rsid w:val="004A4809"/>
    <w:rsid w:val="004A5499"/>
    <w:rsid w:val="004A61DD"/>
    <w:rsid w:val="004B09BA"/>
    <w:rsid w:val="004B1E7F"/>
    <w:rsid w:val="004B2CC8"/>
    <w:rsid w:val="004B7229"/>
    <w:rsid w:val="004B7365"/>
    <w:rsid w:val="004C1679"/>
    <w:rsid w:val="004C265E"/>
    <w:rsid w:val="004C2C31"/>
    <w:rsid w:val="004C2F72"/>
    <w:rsid w:val="004C32C5"/>
    <w:rsid w:val="004C4399"/>
    <w:rsid w:val="004C43CA"/>
    <w:rsid w:val="004C69ED"/>
    <w:rsid w:val="004C6BF5"/>
    <w:rsid w:val="004C787C"/>
    <w:rsid w:val="004D312F"/>
    <w:rsid w:val="004D49CA"/>
    <w:rsid w:val="004D59F8"/>
    <w:rsid w:val="004D6CB6"/>
    <w:rsid w:val="004E0B21"/>
    <w:rsid w:val="004E1A2A"/>
    <w:rsid w:val="004E2014"/>
    <w:rsid w:val="004E30BA"/>
    <w:rsid w:val="004E4A1D"/>
    <w:rsid w:val="004E5890"/>
    <w:rsid w:val="004E6937"/>
    <w:rsid w:val="004F08E4"/>
    <w:rsid w:val="004F1F32"/>
    <w:rsid w:val="004F2043"/>
    <w:rsid w:val="004F2CB4"/>
    <w:rsid w:val="004F3BAE"/>
    <w:rsid w:val="004F4056"/>
    <w:rsid w:val="004F4B9B"/>
    <w:rsid w:val="004F5144"/>
    <w:rsid w:val="004F5FB0"/>
    <w:rsid w:val="004F6073"/>
    <w:rsid w:val="004F7792"/>
    <w:rsid w:val="005006BC"/>
    <w:rsid w:val="0050364B"/>
    <w:rsid w:val="00511AB9"/>
    <w:rsid w:val="00513527"/>
    <w:rsid w:val="005144D9"/>
    <w:rsid w:val="00517A43"/>
    <w:rsid w:val="00520A65"/>
    <w:rsid w:val="00520BBF"/>
    <w:rsid w:val="00520F08"/>
    <w:rsid w:val="00521813"/>
    <w:rsid w:val="0052232E"/>
    <w:rsid w:val="00522945"/>
    <w:rsid w:val="00522B7F"/>
    <w:rsid w:val="00522F5A"/>
    <w:rsid w:val="00523C38"/>
    <w:rsid w:val="00523EA7"/>
    <w:rsid w:val="00524AFC"/>
    <w:rsid w:val="00532116"/>
    <w:rsid w:val="005339EB"/>
    <w:rsid w:val="00535520"/>
    <w:rsid w:val="00535A11"/>
    <w:rsid w:val="0053743E"/>
    <w:rsid w:val="0053781A"/>
    <w:rsid w:val="0054588B"/>
    <w:rsid w:val="00551EC9"/>
    <w:rsid w:val="00553375"/>
    <w:rsid w:val="005550A2"/>
    <w:rsid w:val="005553A2"/>
    <w:rsid w:val="00555531"/>
    <w:rsid w:val="00555BEB"/>
    <w:rsid w:val="0055646F"/>
    <w:rsid w:val="005565A6"/>
    <w:rsid w:val="00560151"/>
    <w:rsid w:val="00560E04"/>
    <w:rsid w:val="00562124"/>
    <w:rsid w:val="0056533E"/>
    <w:rsid w:val="005658A6"/>
    <w:rsid w:val="00566158"/>
    <w:rsid w:val="0056723D"/>
    <w:rsid w:val="00570D5F"/>
    <w:rsid w:val="0057267D"/>
    <w:rsid w:val="0057359E"/>
    <w:rsid w:val="005736B7"/>
    <w:rsid w:val="0057466C"/>
    <w:rsid w:val="005758F4"/>
    <w:rsid w:val="00575E5A"/>
    <w:rsid w:val="005762BB"/>
    <w:rsid w:val="005777F8"/>
    <w:rsid w:val="0058175B"/>
    <w:rsid w:val="00581DA0"/>
    <w:rsid w:val="00581DB3"/>
    <w:rsid w:val="00582B90"/>
    <w:rsid w:val="00582F4D"/>
    <w:rsid w:val="005837F8"/>
    <w:rsid w:val="00583C91"/>
    <w:rsid w:val="00594119"/>
    <w:rsid w:val="00594EAD"/>
    <w:rsid w:val="005955F8"/>
    <w:rsid w:val="00596C7E"/>
    <w:rsid w:val="00597178"/>
    <w:rsid w:val="00597BB9"/>
    <w:rsid w:val="005A0040"/>
    <w:rsid w:val="005A0CBA"/>
    <w:rsid w:val="005A1A89"/>
    <w:rsid w:val="005A5516"/>
    <w:rsid w:val="005A5816"/>
    <w:rsid w:val="005A64E9"/>
    <w:rsid w:val="005B17B4"/>
    <w:rsid w:val="005B235B"/>
    <w:rsid w:val="005B2969"/>
    <w:rsid w:val="005B6573"/>
    <w:rsid w:val="005C0409"/>
    <w:rsid w:val="005C42C4"/>
    <w:rsid w:val="005C6581"/>
    <w:rsid w:val="005C79CD"/>
    <w:rsid w:val="005D0B2C"/>
    <w:rsid w:val="005D3DA5"/>
    <w:rsid w:val="005D3FD7"/>
    <w:rsid w:val="005D3FE5"/>
    <w:rsid w:val="005D4B2B"/>
    <w:rsid w:val="005D50B5"/>
    <w:rsid w:val="005D746B"/>
    <w:rsid w:val="005E0E00"/>
    <w:rsid w:val="005E314A"/>
    <w:rsid w:val="005E4487"/>
    <w:rsid w:val="005F3A8D"/>
    <w:rsid w:val="005F66B7"/>
    <w:rsid w:val="005F687C"/>
    <w:rsid w:val="005F776C"/>
    <w:rsid w:val="006006FF"/>
    <w:rsid w:val="00600849"/>
    <w:rsid w:val="006027B8"/>
    <w:rsid w:val="00602832"/>
    <w:rsid w:val="00603860"/>
    <w:rsid w:val="00604F76"/>
    <w:rsid w:val="0061068E"/>
    <w:rsid w:val="00611E72"/>
    <w:rsid w:val="006150C6"/>
    <w:rsid w:val="00615335"/>
    <w:rsid w:val="006165DD"/>
    <w:rsid w:val="006169AF"/>
    <w:rsid w:val="00620CCA"/>
    <w:rsid w:val="006220A3"/>
    <w:rsid w:val="00623C43"/>
    <w:rsid w:val="00626CA3"/>
    <w:rsid w:val="006279EF"/>
    <w:rsid w:val="0063072C"/>
    <w:rsid w:val="00633C4C"/>
    <w:rsid w:val="0063452D"/>
    <w:rsid w:val="00640165"/>
    <w:rsid w:val="0064324E"/>
    <w:rsid w:val="006444A6"/>
    <w:rsid w:val="006452ED"/>
    <w:rsid w:val="00645D55"/>
    <w:rsid w:val="00646328"/>
    <w:rsid w:val="0065129E"/>
    <w:rsid w:val="00652B15"/>
    <w:rsid w:val="00657DD4"/>
    <w:rsid w:val="00660AD3"/>
    <w:rsid w:val="00660D0C"/>
    <w:rsid w:val="006626E6"/>
    <w:rsid w:val="0066710F"/>
    <w:rsid w:val="00675FBC"/>
    <w:rsid w:val="00677AC3"/>
    <w:rsid w:val="00677D83"/>
    <w:rsid w:val="006800BD"/>
    <w:rsid w:val="006811E6"/>
    <w:rsid w:val="0068121D"/>
    <w:rsid w:val="0068365F"/>
    <w:rsid w:val="006839BB"/>
    <w:rsid w:val="00687468"/>
    <w:rsid w:val="006878C0"/>
    <w:rsid w:val="00690575"/>
    <w:rsid w:val="0069640B"/>
    <w:rsid w:val="00696CC5"/>
    <w:rsid w:val="006977F8"/>
    <w:rsid w:val="00697C91"/>
    <w:rsid w:val="00697D5A"/>
    <w:rsid w:val="006A020F"/>
    <w:rsid w:val="006A2BEE"/>
    <w:rsid w:val="006A3B44"/>
    <w:rsid w:val="006A5570"/>
    <w:rsid w:val="006A689C"/>
    <w:rsid w:val="006B037E"/>
    <w:rsid w:val="006B077B"/>
    <w:rsid w:val="006B2155"/>
    <w:rsid w:val="006B28F6"/>
    <w:rsid w:val="006B3D79"/>
    <w:rsid w:val="006B7F51"/>
    <w:rsid w:val="006C007E"/>
    <w:rsid w:val="006C06A3"/>
    <w:rsid w:val="006C18DD"/>
    <w:rsid w:val="006C1CA5"/>
    <w:rsid w:val="006C1EC8"/>
    <w:rsid w:val="006C2375"/>
    <w:rsid w:val="006C2893"/>
    <w:rsid w:val="006C5BA7"/>
    <w:rsid w:val="006C6A47"/>
    <w:rsid w:val="006C7C94"/>
    <w:rsid w:val="006D3F8F"/>
    <w:rsid w:val="006D4122"/>
    <w:rsid w:val="006D698B"/>
    <w:rsid w:val="006D7013"/>
    <w:rsid w:val="006E0578"/>
    <w:rsid w:val="006E07B5"/>
    <w:rsid w:val="006E0F02"/>
    <w:rsid w:val="006E1238"/>
    <w:rsid w:val="006E2721"/>
    <w:rsid w:val="006E314D"/>
    <w:rsid w:val="006E3609"/>
    <w:rsid w:val="006F1358"/>
    <w:rsid w:val="006F2716"/>
    <w:rsid w:val="006F7DB4"/>
    <w:rsid w:val="007015BB"/>
    <w:rsid w:val="00705AA5"/>
    <w:rsid w:val="007064C4"/>
    <w:rsid w:val="00710723"/>
    <w:rsid w:val="00710A34"/>
    <w:rsid w:val="00712147"/>
    <w:rsid w:val="007128C7"/>
    <w:rsid w:val="00714188"/>
    <w:rsid w:val="00714B52"/>
    <w:rsid w:val="00715E12"/>
    <w:rsid w:val="00721ABF"/>
    <w:rsid w:val="00722590"/>
    <w:rsid w:val="00723E16"/>
    <w:rsid w:val="00723ED1"/>
    <w:rsid w:val="007243F6"/>
    <w:rsid w:val="00725816"/>
    <w:rsid w:val="00725C24"/>
    <w:rsid w:val="00726240"/>
    <w:rsid w:val="00730E31"/>
    <w:rsid w:val="00733E5C"/>
    <w:rsid w:val="00734EDB"/>
    <w:rsid w:val="00735453"/>
    <w:rsid w:val="007368DA"/>
    <w:rsid w:val="0073705A"/>
    <w:rsid w:val="00740F8F"/>
    <w:rsid w:val="00743525"/>
    <w:rsid w:val="00743538"/>
    <w:rsid w:val="00743768"/>
    <w:rsid w:val="00744D0D"/>
    <w:rsid w:val="00745AAD"/>
    <w:rsid w:val="00745CD4"/>
    <w:rsid w:val="0075330A"/>
    <w:rsid w:val="007544DC"/>
    <w:rsid w:val="007555F9"/>
    <w:rsid w:val="00755EF0"/>
    <w:rsid w:val="0076286B"/>
    <w:rsid w:val="007644A5"/>
    <w:rsid w:val="00764595"/>
    <w:rsid w:val="007654AD"/>
    <w:rsid w:val="00766846"/>
    <w:rsid w:val="007674C2"/>
    <w:rsid w:val="00767750"/>
    <w:rsid w:val="007703D2"/>
    <w:rsid w:val="007722F7"/>
    <w:rsid w:val="00772CE8"/>
    <w:rsid w:val="00772F8D"/>
    <w:rsid w:val="00773288"/>
    <w:rsid w:val="0077423D"/>
    <w:rsid w:val="0077632E"/>
    <w:rsid w:val="0077673A"/>
    <w:rsid w:val="00781839"/>
    <w:rsid w:val="00781A00"/>
    <w:rsid w:val="00783E4A"/>
    <w:rsid w:val="0078403E"/>
    <w:rsid w:val="007846E1"/>
    <w:rsid w:val="00791D9B"/>
    <w:rsid w:val="0079708E"/>
    <w:rsid w:val="00797938"/>
    <w:rsid w:val="007A1196"/>
    <w:rsid w:val="007A18B8"/>
    <w:rsid w:val="007A3DCA"/>
    <w:rsid w:val="007A3F9B"/>
    <w:rsid w:val="007A50E0"/>
    <w:rsid w:val="007A77A6"/>
    <w:rsid w:val="007A7F3B"/>
    <w:rsid w:val="007B0327"/>
    <w:rsid w:val="007B1C9D"/>
    <w:rsid w:val="007B34D0"/>
    <w:rsid w:val="007B43D5"/>
    <w:rsid w:val="007B570C"/>
    <w:rsid w:val="007B6583"/>
    <w:rsid w:val="007B69DE"/>
    <w:rsid w:val="007B6D51"/>
    <w:rsid w:val="007B7A65"/>
    <w:rsid w:val="007C06A2"/>
    <w:rsid w:val="007C07D4"/>
    <w:rsid w:val="007C1C77"/>
    <w:rsid w:val="007C2B34"/>
    <w:rsid w:val="007C2F68"/>
    <w:rsid w:val="007C3FBB"/>
    <w:rsid w:val="007C4A61"/>
    <w:rsid w:val="007C4ED0"/>
    <w:rsid w:val="007C4FA7"/>
    <w:rsid w:val="007C7241"/>
    <w:rsid w:val="007D0985"/>
    <w:rsid w:val="007D1DB5"/>
    <w:rsid w:val="007D37FA"/>
    <w:rsid w:val="007D518C"/>
    <w:rsid w:val="007D5E80"/>
    <w:rsid w:val="007D65BC"/>
    <w:rsid w:val="007D7C40"/>
    <w:rsid w:val="007E1C26"/>
    <w:rsid w:val="007E4817"/>
    <w:rsid w:val="007E4A6E"/>
    <w:rsid w:val="007E6F5B"/>
    <w:rsid w:val="007F28CE"/>
    <w:rsid w:val="007F56A7"/>
    <w:rsid w:val="007F5F42"/>
    <w:rsid w:val="007F6847"/>
    <w:rsid w:val="007F6E35"/>
    <w:rsid w:val="00803679"/>
    <w:rsid w:val="00803EC7"/>
    <w:rsid w:val="0080563E"/>
    <w:rsid w:val="008073C0"/>
    <w:rsid w:val="008075C4"/>
    <w:rsid w:val="008076F9"/>
    <w:rsid w:val="00807DD0"/>
    <w:rsid w:val="008101E2"/>
    <w:rsid w:val="00811F39"/>
    <w:rsid w:val="00813BEE"/>
    <w:rsid w:val="00813F11"/>
    <w:rsid w:val="00814558"/>
    <w:rsid w:val="00815315"/>
    <w:rsid w:val="00815A7F"/>
    <w:rsid w:val="008201AE"/>
    <w:rsid w:val="008227B4"/>
    <w:rsid w:val="0082380E"/>
    <w:rsid w:val="00825B2D"/>
    <w:rsid w:val="00826BF2"/>
    <w:rsid w:val="00827DEA"/>
    <w:rsid w:val="00832A2B"/>
    <w:rsid w:val="00832A31"/>
    <w:rsid w:val="00834356"/>
    <w:rsid w:val="00835C8A"/>
    <w:rsid w:val="00836DBC"/>
    <w:rsid w:val="008372DE"/>
    <w:rsid w:val="0083D570"/>
    <w:rsid w:val="0084568D"/>
    <w:rsid w:val="008460CF"/>
    <w:rsid w:val="00846291"/>
    <w:rsid w:val="0084756D"/>
    <w:rsid w:val="00847F4A"/>
    <w:rsid w:val="00851168"/>
    <w:rsid w:val="00851C1B"/>
    <w:rsid w:val="00852FBA"/>
    <w:rsid w:val="00855535"/>
    <w:rsid w:val="0085DA7F"/>
    <w:rsid w:val="008611FD"/>
    <w:rsid w:val="00861647"/>
    <w:rsid w:val="00861E50"/>
    <w:rsid w:val="008633B0"/>
    <w:rsid w:val="00864F63"/>
    <w:rsid w:val="00865029"/>
    <w:rsid w:val="00871024"/>
    <w:rsid w:val="00871B1A"/>
    <w:rsid w:val="00871F12"/>
    <w:rsid w:val="00872E13"/>
    <w:rsid w:val="008745E5"/>
    <w:rsid w:val="00874A27"/>
    <w:rsid w:val="00874C59"/>
    <w:rsid w:val="00875991"/>
    <w:rsid w:val="00876B3D"/>
    <w:rsid w:val="00877C94"/>
    <w:rsid w:val="00880050"/>
    <w:rsid w:val="0088047F"/>
    <w:rsid w:val="0088290F"/>
    <w:rsid w:val="0088317F"/>
    <w:rsid w:val="00883499"/>
    <w:rsid w:val="008840D6"/>
    <w:rsid w:val="00886F69"/>
    <w:rsid w:val="008870D0"/>
    <w:rsid w:val="008872E1"/>
    <w:rsid w:val="00892D71"/>
    <w:rsid w:val="008948DB"/>
    <w:rsid w:val="008969DF"/>
    <w:rsid w:val="00897F34"/>
    <w:rsid w:val="008A07C8"/>
    <w:rsid w:val="008A0B32"/>
    <w:rsid w:val="008A1C90"/>
    <w:rsid w:val="008A2AEF"/>
    <w:rsid w:val="008A3568"/>
    <w:rsid w:val="008A46F4"/>
    <w:rsid w:val="008A506F"/>
    <w:rsid w:val="008A57B0"/>
    <w:rsid w:val="008A7B31"/>
    <w:rsid w:val="008B06B5"/>
    <w:rsid w:val="008B0E27"/>
    <w:rsid w:val="008B19BF"/>
    <w:rsid w:val="008B37DB"/>
    <w:rsid w:val="008B65C2"/>
    <w:rsid w:val="008B75CB"/>
    <w:rsid w:val="008B7B50"/>
    <w:rsid w:val="008C1537"/>
    <w:rsid w:val="008C1A0A"/>
    <w:rsid w:val="008C2A32"/>
    <w:rsid w:val="008C460B"/>
    <w:rsid w:val="008C71C6"/>
    <w:rsid w:val="008C76E4"/>
    <w:rsid w:val="008D03B9"/>
    <w:rsid w:val="008D51E9"/>
    <w:rsid w:val="008D5429"/>
    <w:rsid w:val="008D5736"/>
    <w:rsid w:val="008D7353"/>
    <w:rsid w:val="008E39EA"/>
    <w:rsid w:val="008E6046"/>
    <w:rsid w:val="008E7B72"/>
    <w:rsid w:val="008F18D6"/>
    <w:rsid w:val="008F260B"/>
    <w:rsid w:val="00901EEA"/>
    <w:rsid w:val="00903D9D"/>
    <w:rsid w:val="00903F8B"/>
    <w:rsid w:val="00904371"/>
    <w:rsid w:val="00904780"/>
    <w:rsid w:val="009059EB"/>
    <w:rsid w:val="00905CBB"/>
    <w:rsid w:val="00907527"/>
    <w:rsid w:val="00907FD8"/>
    <w:rsid w:val="00911FE9"/>
    <w:rsid w:val="00913078"/>
    <w:rsid w:val="009147CA"/>
    <w:rsid w:val="00916161"/>
    <w:rsid w:val="0091619E"/>
    <w:rsid w:val="00916776"/>
    <w:rsid w:val="00922385"/>
    <w:rsid w:val="009223DF"/>
    <w:rsid w:val="00923CEE"/>
    <w:rsid w:val="009245D2"/>
    <w:rsid w:val="0092674F"/>
    <w:rsid w:val="00927670"/>
    <w:rsid w:val="009312C7"/>
    <w:rsid w:val="009353A1"/>
    <w:rsid w:val="00935DB7"/>
    <w:rsid w:val="00936091"/>
    <w:rsid w:val="00940D8A"/>
    <w:rsid w:val="00940EB6"/>
    <w:rsid w:val="00943AE1"/>
    <w:rsid w:val="00945B42"/>
    <w:rsid w:val="009464F3"/>
    <w:rsid w:val="00946B19"/>
    <w:rsid w:val="009507DA"/>
    <w:rsid w:val="0095136D"/>
    <w:rsid w:val="00953CD1"/>
    <w:rsid w:val="00955197"/>
    <w:rsid w:val="00956698"/>
    <w:rsid w:val="0095789C"/>
    <w:rsid w:val="00961D2B"/>
    <w:rsid w:val="00962258"/>
    <w:rsid w:val="00963BD6"/>
    <w:rsid w:val="009678B7"/>
    <w:rsid w:val="00970306"/>
    <w:rsid w:val="00970952"/>
    <w:rsid w:val="009751E2"/>
    <w:rsid w:val="0097587F"/>
    <w:rsid w:val="00976C5A"/>
    <w:rsid w:val="00982411"/>
    <w:rsid w:val="0098789D"/>
    <w:rsid w:val="00992D9C"/>
    <w:rsid w:val="00994920"/>
    <w:rsid w:val="009949B2"/>
    <w:rsid w:val="00994C31"/>
    <w:rsid w:val="009959D2"/>
    <w:rsid w:val="00996738"/>
    <w:rsid w:val="0099680C"/>
    <w:rsid w:val="00996CB8"/>
    <w:rsid w:val="009A02FA"/>
    <w:rsid w:val="009A274A"/>
    <w:rsid w:val="009A3487"/>
    <w:rsid w:val="009A7930"/>
    <w:rsid w:val="009B2E79"/>
    <w:rsid w:val="009B2E97"/>
    <w:rsid w:val="009B382F"/>
    <w:rsid w:val="009B43D4"/>
    <w:rsid w:val="009B5696"/>
    <w:rsid w:val="009B72CC"/>
    <w:rsid w:val="009C0E74"/>
    <w:rsid w:val="009C125B"/>
    <w:rsid w:val="009C19BE"/>
    <w:rsid w:val="009C1CD4"/>
    <w:rsid w:val="009C2CE9"/>
    <w:rsid w:val="009C4D0B"/>
    <w:rsid w:val="009C5656"/>
    <w:rsid w:val="009C642B"/>
    <w:rsid w:val="009C77B7"/>
    <w:rsid w:val="009C78BB"/>
    <w:rsid w:val="009C7CB8"/>
    <w:rsid w:val="009D054B"/>
    <w:rsid w:val="009D085F"/>
    <w:rsid w:val="009D3108"/>
    <w:rsid w:val="009D3C81"/>
    <w:rsid w:val="009D6B71"/>
    <w:rsid w:val="009E0318"/>
    <w:rsid w:val="009E07F4"/>
    <w:rsid w:val="009E08B2"/>
    <w:rsid w:val="009E1B30"/>
    <w:rsid w:val="009E1C63"/>
    <w:rsid w:val="009E32F0"/>
    <w:rsid w:val="009E439F"/>
    <w:rsid w:val="009E4A17"/>
    <w:rsid w:val="009E5C70"/>
    <w:rsid w:val="009F1B9D"/>
    <w:rsid w:val="009F25ED"/>
    <w:rsid w:val="009F28C7"/>
    <w:rsid w:val="009F392E"/>
    <w:rsid w:val="009F40E5"/>
    <w:rsid w:val="009F42EA"/>
    <w:rsid w:val="009F61C8"/>
    <w:rsid w:val="009F781E"/>
    <w:rsid w:val="00A028D5"/>
    <w:rsid w:val="00A046A6"/>
    <w:rsid w:val="00A05FA8"/>
    <w:rsid w:val="00A07208"/>
    <w:rsid w:val="00A111AB"/>
    <w:rsid w:val="00A123F3"/>
    <w:rsid w:val="00A138AC"/>
    <w:rsid w:val="00A14E52"/>
    <w:rsid w:val="00A151A9"/>
    <w:rsid w:val="00A15F0F"/>
    <w:rsid w:val="00A1676F"/>
    <w:rsid w:val="00A167CB"/>
    <w:rsid w:val="00A16A3C"/>
    <w:rsid w:val="00A20498"/>
    <w:rsid w:val="00A20947"/>
    <w:rsid w:val="00A20A84"/>
    <w:rsid w:val="00A21C15"/>
    <w:rsid w:val="00A2448C"/>
    <w:rsid w:val="00A31B37"/>
    <w:rsid w:val="00A33AAD"/>
    <w:rsid w:val="00A3491D"/>
    <w:rsid w:val="00A34FF0"/>
    <w:rsid w:val="00A351F7"/>
    <w:rsid w:val="00A375BE"/>
    <w:rsid w:val="00A40AA6"/>
    <w:rsid w:val="00A414E5"/>
    <w:rsid w:val="00A44328"/>
    <w:rsid w:val="00A47BA5"/>
    <w:rsid w:val="00A51ADB"/>
    <w:rsid w:val="00A53E4A"/>
    <w:rsid w:val="00A562B3"/>
    <w:rsid w:val="00A576AA"/>
    <w:rsid w:val="00A57DDE"/>
    <w:rsid w:val="00A6177B"/>
    <w:rsid w:val="00A63C07"/>
    <w:rsid w:val="00A66035"/>
    <w:rsid w:val="00A66136"/>
    <w:rsid w:val="00A67F0E"/>
    <w:rsid w:val="00A72A45"/>
    <w:rsid w:val="00A74638"/>
    <w:rsid w:val="00A7481A"/>
    <w:rsid w:val="00A815D0"/>
    <w:rsid w:val="00A822BE"/>
    <w:rsid w:val="00A85265"/>
    <w:rsid w:val="00A8586D"/>
    <w:rsid w:val="00A85D5A"/>
    <w:rsid w:val="00A85DE4"/>
    <w:rsid w:val="00A85E10"/>
    <w:rsid w:val="00A8710E"/>
    <w:rsid w:val="00A91FF0"/>
    <w:rsid w:val="00A95434"/>
    <w:rsid w:val="00A9548B"/>
    <w:rsid w:val="00AA087A"/>
    <w:rsid w:val="00AA3667"/>
    <w:rsid w:val="00AA43FA"/>
    <w:rsid w:val="00AA4CBB"/>
    <w:rsid w:val="00AA5B3E"/>
    <w:rsid w:val="00AA65FA"/>
    <w:rsid w:val="00AA6A46"/>
    <w:rsid w:val="00AA7351"/>
    <w:rsid w:val="00AB0945"/>
    <w:rsid w:val="00AB2FB0"/>
    <w:rsid w:val="00AB3694"/>
    <w:rsid w:val="00AB4C69"/>
    <w:rsid w:val="00AB4F80"/>
    <w:rsid w:val="00AC0A9C"/>
    <w:rsid w:val="00AC2801"/>
    <w:rsid w:val="00AC4403"/>
    <w:rsid w:val="00AC4D91"/>
    <w:rsid w:val="00AC6B88"/>
    <w:rsid w:val="00AD056F"/>
    <w:rsid w:val="00AD153E"/>
    <w:rsid w:val="00AD35E5"/>
    <w:rsid w:val="00AD41C7"/>
    <w:rsid w:val="00AD46D2"/>
    <w:rsid w:val="00AD4DE1"/>
    <w:rsid w:val="00AD5DB1"/>
    <w:rsid w:val="00AD6731"/>
    <w:rsid w:val="00AD72DF"/>
    <w:rsid w:val="00AE10FD"/>
    <w:rsid w:val="00AE2CF8"/>
    <w:rsid w:val="00AE35CD"/>
    <w:rsid w:val="00AE4FBE"/>
    <w:rsid w:val="00AE5B10"/>
    <w:rsid w:val="00AE6A5D"/>
    <w:rsid w:val="00AE75D6"/>
    <w:rsid w:val="00AF132E"/>
    <w:rsid w:val="00AF25D2"/>
    <w:rsid w:val="00AF4208"/>
    <w:rsid w:val="00AF7378"/>
    <w:rsid w:val="00B0084D"/>
    <w:rsid w:val="00B01397"/>
    <w:rsid w:val="00B02365"/>
    <w:rsid w:val="00B04998"/>
    <w:rsid w:val="00B062F4"/>
    <w:rsid w:val="00B076FF"/>
    <w:rsid w:val="00B1005F"/>
    <w:rsid w:val="00B13B36"/>
    <w:rsid w:val="00B13E32"/>
    <w:rsid w:val="00B15D0D"/>
    <w:rsid w:val="00B16A86"/>
    <w:rsid w:val="00B17275"/>
    <w:rsid w:val="00B176D5"/>
    <w:rsid w:val="00B17781"/>
    <w:rsid w:val="00B17BCA"/>
    <w:rsid w:val="00B225DC"/>
    <w:rsid w:val="00B22DB0"/>
    <w:rsid w:val="00B2475D"/>
    <w:rsid w:val="00B2579D"/>
    <w:rsid w:val="00B30969"/>
    <w:rsid w:val="00B321D6"/>
    <w:rsid w:val="00B350E8"/>
    <w:rsid w:val="00B36316"/>
    <w:rsid w:val="00B36372"/>
    <w:rsid w:val="00B43E87"/>
    <w:rsid w:val="00B45E9E"/>
    <w:rsid w:val="00B51DC7"/>
    <w:rsid w:val="00B526F1"/>
    <w:rsid w:val="00B52E74"/>
    <w:rsid w:val="00B53080"/>
    <w:rsid w:val="00B53CFA"/>
    <w:rsid w:val="00B559AD"/>
    <w:rsid w:val="00B55A62"/>
    <w:rsid w:val="00B57545"/>
    <w:rsid w:val="00B62FD3"/>
    <w:rsid w:val="00B64814"/>
    <w:rsid w:val="00B64B4A"/>
    <w:rsid w:val="00B66CA5"/>
    <w:rsid w:val="00B75EE1"/>
    <w:rsid w:val="00B769CA"/>
    <w:rsid w:val="00B77481"/>
    <w:rsid w:val="00B77D29"/>
    <w:rsid w:val="00B77F19"/>
    <w:rsid w:val="00B80BE5"/>
    <w:rsid w:val="00B814F4"/>
    <w:rsid w:val="00B815FC"/>
    <w:rsid w:val="00B8518B"/>
    <w:rsid w:val="00B85CF8"/>
    <w:rsid w:val="00B8639D"/>
    <w:rsid w:val="00B87B6A"/>
    <w:rsid w:val="00B87BEB"/>
    <w:rsid w:val="00B87CC0"/>
    <w:rsid w:val="00B959C9"/>
    <w:rsid w:val="00B960D1"/>
    <w:rsid w:val="00B96867"/>
    <w:rsid w:val="00B96B22"/>
    <w:rsid w:val="00B97EDF"/>
    <w:rsid w:val="00BA1ABE"/>
    <w:rsid w:val="00BA3D68"/>
    <w:rsid w:val="00BA4DE5"/>
    <w:rsid w:val="00BA5A2E"/>
    <w:rsid w:val="00BA5F58"/>
    <w:rsid w:val="00BA6B5F"/>
    <w:rsid w:val="00BA6C35"/>
    <w:rsid w:val="00BB27ED"/>
    <w:rsid w:val="00BB3195"/>
    <w:rsid w:val="00BB3740"/>
    <w:rsid w:val="00BB5DD0"/>
    <w:rsid w:val="00BC01CB"/>
    <w:rsid w:val="00BC05A4"/>
    <w:rsid w:val="00BC0A87"/>
    <w:rsid w:val="00BC0EA0"/>
    <w:rsid w:val="00BC1F12"/>
    <w:rsid w:val="00BC4B71"/>
    <w:rsid w:val="00BC58F7"/>
    <w:rsid w:val="00BC5935"/>
    <w:rsid w:val="00BC6C3B"/>
    <w:rsid w:val="00BC773A"/>
    <w:rsid w:val="00BD0DB5"/>
    <w:rsid w:val="00BD17A9"/>
    <w:rsid w:val="00BD4D7F"/>
    <w:rsid w:val="00BD5A96"/>
    <w:rsid w:val="00BD66B5"/>
    <w:rsid w:val="00BD6F72"/>
    <w:rsid w:val="00BD7E91"/>
    <w:rsid w:val="00BE1F97"/>
    <w:rsid w:val="00BE2350"/>
    <w:rsid w:val="00BE26F6"/>
    <w:rsid w:val="00BE4102"/>
    <w:rsid w:val="00BF069A"/>
    <w:rsid w:val="00BF0CC1"/>
    <w:rsid w:val="00BF13F5"/>
    <w:rsid w:val="00BF2024"/>
    <w:rsid w:val="00BF374D"/>
    <w:rsid w:val="00BF39A9"/>
    <w:rsid w:val="00BF485A"/>
    <w:rsid w:val="00BF489D"/>
    <w:rsid w:val="00BF6C9B"/>
    <w:rsid w:val="00BF7853"/>
    <w:rsid w:val="00BF7CCE"/>
    <w:rsid w:val="00C02D0A"/>
    <w:rsid w:val="00C03976"/>
    <w:rsid w:val="00C03A6E"/>
    <w:rsid w:val="00C06F39"/>
    <w:rsid w:val="00C07848"/>
    <w:rsid w:val="00C07F62"/>
    <w:rsid w:val="00C10B86"/>
    <w:rsid w:val="00C1248F"/>
    <w:rsid w:val="00C134EB"/>
    <w:rsid w:val="00C2038F"/>
    <w:rsid w:val="00C2296B"/>
    <w:rsid w:val="00C25587"/>
    <w:rsid w:val="00C30672"/>
    <w:rsid w:val="00C310AF"/>
    <w:rsid w:val="00C332FB"/>
    <w:rsid w:val="00C3424F"/>
    <w:rsid w:val="00C4017E"/>
    <w:rsid w:val="00C40D53"/>
    <w:rsid w:val="00C415C7"/>
    <w:rsid w:val="00C41CE9"/>
    <w:rsid w:val="00C44199"/>
    <w:rsid w:val="00C44F6A"/>
    <w:rsid w:val="00C45C6C"/>
    <w:rsid w:val="00C47C6A"/>
    <w:rsid w:val="00C5725C"/>
    <w:rsid w:val="00C57B0E"/>
    <w:rsid w:val="00C60CB6"/>
    <w:rsid w:val="00C61298"/>
    <w:rsid w:val="00C61A79"/>
    <w:rsid w:val="00C64BD7"/>
    <w:rsid w:val="00C6741B"/>
    <w:rsid w:val="00C70233"/>
    <w:rsid w:val="00C7145D"/>
    <w:rsid w:val="00C7173D"/>
    <w:rsid w:val="00C7464B"/>
    <w:rsid w:val="00C76762"/>
    <w:rsid w:val="00C76F04"/>
    <w:rsid w:val="00C77A7B"/>
    <w:rsid w:val="00C81C46"/>
    <w:rsid w:val="00C82AD7"/>
    <w:rsid w:val="00C83CA6"/>
    <w:rsid w:val="00C840D1"/>
    <w:rsid w:val="00C86A72"/>
    <w:rsid w:val="00C86BF3"/>
    <w:rsid w:val="00C879C9"/>
    <w:rsid w:val="00C905EC"/>
    <w:rsid w:val="00C92A37"/>
    <w:rsid w:val="00C94B78"/>
    <w:rsid w:val="00C94E27"/>
    <w:rsid w:val="00C974EF"/>
    <w:rsid w:val="00C97B59"/>
    <w:rsid w:val="00CA0F96"/>
    <w:rsid w:val="00CA26C6"/>
    <w:rsid w:val="00CA2A54"/>
    <w:rsid w:val="00CA2B7C"/>
    <w:rsid w:val="00CA5E0A"/>
    <w:rsid w:val="00CA6977"/>
    <w:rsid w:val="00CA7B7D"/>
    <w:rsid w:val="00CA7E4C"/>
    <w:rsid w:val="00CB1996"/>
    <w:rsid w:val="00CB5424"/>
    <w:rsid w:val="00CB5B10"/>
    <w:rsid w:val="00CB6283"/>
    <w:rsid w:val="00CB6676"/>
    <w:rsid w:val="00CC0DDC"/>
    <w:rsid w:val="00CC20D9"/>
    <w:rsid w:val="00CC2203"/>
    <w:rsid w:val="00CC32C1"/>
    <w:rsid w:val="00CC607A"/>
    <w:rsid w:val="00CD1FC4"/>
    <w:rsid w:val="00CD3911"/>
    <w:rsid w:val="00CD3E6F"/>
    <w:rsid w:val="00CD7224"/>
    <w:rsid w:val="00CE14C0"/>
    <w:rsid w:val="00CE1502"/>
    <w:rsid w:val="00CE1ADC"/>
    <w:rsid w:val="00CE2995"/>
    <w:rsid w:val="00CE371D"/>
    <w:rsid w:val="00CE51F0"/>
    <w:rsid w:val="00CE6EEA"/>
    <w:rsid w:val="00CE73ED"/>
    <w:rsid w:val="00CF0CD0"/>
    <w:rsid w:val="00CF2444"/>
    <w:rsid w:val="00CF2E0A"/>
    <w:rsid w:val="00CF36F2"/>
    <w:rsid w:val="00CF5B22"/>
    <w:rsid w:val="00CF5F86"/>
    <w:rsid w:val="00CF6B68"/>
    <w:rsid w:val="00CF6F15"/>
    <w:rsid w:val="00CF79A8"/>
    <w:rsid w:val="00D00BE4"/>
    <w:rsid w:val="00D02775"/>
    <w:rsid w:val="00D05234"/>
    <w:rsid w:val="00D061C9"/>
    <w:rsid w:val="00D069F1"/>
    <w:rsid w:val="00D2028E"/>
    <w:rsid w:val="00D21061"/>
    <w:rsid w:val="00D23CA6"/>
    <w:rsid w:val="00D316A7"/>
    <w:rsid w:val="00D4106A"/>
    <w:rsid w:val="00D4108E"/>
    <w:rsid w:val="00D42145"/>
    <w:rsid w:val="00D42891"/>
    <w:rsid w:val="00D42CC4"/>
    <w:rsid w:val="00D4395E"/>
    <w:rsid w:val="00D47B08"/>
    <w:rsid w:val="00D5000E"/>
    <w:rsid w:val="00D5322D"/>
    <w:rsid w:val="00D53825"/>
    <w:rsid w:val="00D546C1"/>
    <w:rsid w:val="00D556D5"/>
    <w:rsid w:val="00D55AB9"/>
    <w:rsid w:val="00D55B50"/>
    <w:rsid w:val="00D56145"/>
    <w:rsid w:val="00D6163D"/>
    <w:rsid w:val="00D63EC1"/>
    <w:rsid w:val="00D662B9"/>
    <w:rsid w:val="00D67D66"/>
    <w:rsid w:val="00D74FFF"/>
    <w:rsid w:val="00D7780B"/>
    <w:rsid w:val="00D822D9"/>
    <w:rsid w:val="00D82FA4"/>
    <w:rsid w:val="00D831A3"/>
    <w:rsid w:val="00D85ABC"/>
    <w:rsid w:val="00D87ACB"/>
    <w:rsid w:val="00D92646"/>
    <w:rsid w:val="00D928B0"/>
    <w:rsid w:val="00D96160"/>
    <w:rsid w:val="00D970A7"/>
    <w:rsid w:val="00DA0C7F"/>
    <w:rsid w:val="00DA1A28"/>
    <w:rsid w:val="00DA6FFE"/>
    <w:rsid w:val="00DB14B0"/>
    <w:rsid w:val="00DC0575"/>
    <w:rsid w:val="00DC3110"/>
    <w:rsid w:val="00DC5A94"/>
    <w:rsid w:val="00DD2BB2"/>
    <w:rsid w:val="00DD3018"/>
    <w:rsid w:val="00DD46F3"/>
    <w:rsid w:val="00DD58A6"/>
    <w:rsid w:val="00DD5DE9"/>
    <w:rsid w:val="00DD7AD8"/>
    <w:rsid w:val="00DD7D18"/>
    <w:rsid w:val="00DE03D9"/>
    <w:rsid w:val="00DE0A49"/>
    <w:rsid w:val="00DE119E"/>
    <w:rsid w:val="00DE3132"/>
    <w:rsid w:val="00DE46F8"/>
    <w:rsid w:val="00DE47E2"/>
    <w:rsid w:val="00DE4FED"/>
    <w:rsid w:val="00DE56F2"/>
    <w:rsid w:val="00DE5A7C"/>
    <w:rsid w:val="00DE6698"/>
    <w:rsid w:val="00DE6D75"/>
    <w:rsid w:val="00DF00C5"/>
    <w:rsid w:val="00DF04B2"/>
    <w:rsid w:val="00DF116D"/>
    <w:rsid w:val="00DF2731"/>
    <w:rsid w:val="00DF3135"/>
    <w:rsid w:val="00DF37D3"/>
    <w:rsid w:val="00DF4476"/>
    <w:rsid w:val="00DF5507"/>
    <w:rsid w:val="00E01E85"/>
    <w:rsid w:val="00E0312A"/>
    <w:rsid w:val="00E03626"/>
    <w:rsid w:val="00E056F8"/>
    <w:rsid w:val="00E067C7"/>
    <w:rsid w:val="00E07672"/>
    <w:rsid w:val="00E078B1"/>
    <w:rsid w:val="00E07BC4"/>
    <w:rsid w:val="00E11CD7"/>
    <w:rsid w:val="00E12143"/>
    <w:rsid w:val="00E13CB4"/>
    <w:rsid w:val="00E16255"/>
    <w:rsid w:val="00E170DE"/>
    <w:rsid w:val="00E174C3"/>
    <w:rsid w:val="00E238D2"/>
    <w:rsid w:val="00E31629"/>
    <w:rsid w:val="00E3456F"/>
    <w:rsid w:val="00E349BD"/>
    <w:rsid w:val="00E35FC8"/>
    <w:rsid w:val="00E40B5E"/>
    <w:rsid w:val="00E42C78"/>
    <w:rsid w:val="00E43CC8"/>
    <w:rsid w:val="00E45A1D"/>
    <w:rsid w:val="00E45D06"/>
    <w:rsid w:val="00E473F5"/>
    <w:rsid w:val="00E52EDA"/>
    <w:rsid w:val="00E55FF6"/>
    <w:rsid w:val="00E5760D"/>
    <w:rsid w:val="00E61745"/>
    <w:rsid w:val="00E64B28"/>
    <w:rsid w:val="00E663D3"/>
    <w:rsid w:val="00E67D7E"/>
    <w:rsid w:val="00E73342"/>
    <w:rsid w:val="00E751CB"/>
    <w:rsid w:val="00E778BA"/>
    <w:rsid w:val="00E80840"/>
    <w:rsid w:val="00E81302"/>
    <w:rsid w:val="00E81CAC"/>
    <w:rsid w:val="00E824F1"/>
    <w:rsid w:val="00E82603"/>
    <w:rsid w:val="00E82E35"/>
    <w:rsid w:val="00E83E0C"/>
    <w:rsid w:val="00E842EA"/>
    <w:rsid w:val="00E8624C"/>
    <w:rsid w:val="00E87241"/>
    <w:rsid w:val="00E876BD"/>
    <w:rsid w:val="00E87DB2"/>
    <w:rsid w:val="00E91366"/>
    <w:rsid w:val="00E913EA"/>
    <w:rsid w:val="00E93135"/>
    <w:rsid w:val="00E93EE3"/>
    <w:rsid w:val="00E96E5D"/>
    <w:rsid w:val="00E97624"/>
    <w:rsid w:val="00E9770A"/>
    <w:rsid w:val="00EA0D11"/>
    <w:rsid w:val="00EA19CA"/>
    <w:rsid w:val="00EA28A2"/>
    <w:rsid w:val="00EA68BA"/>
    <w:rsid w:val="00EB09B8"/>
    <w:rsid w:val="00EB104F"/>
    <w:rsid w:val="00EB14F4"/>
    <w:rsid w:val="00EB19A9"/>
    <w:rsid w:val="00EB681E"/>
    <w:rsid w:val="00EB7C7E"/>
    <w:rsid w:val="00EC2974"/>
    <w:rsid w:val="00EC401B"/>
    <w:rsid w:val="00EC45AA"/>
    <w:rsid w:val="00EC6651"/>
    <w:rsid w:val="00ED0C92"/>
    <w:rsid w:val="00ED14BD"/>
    <w:rsid w:val="00ED1F9F"/>
    <w:rsid w:val="00ED69CF"/>
    <w:rsid w:val="00ED6B1A"/>
    <w:rsid w:val="00ED7BB3"/>
    <w:rsid w:val="00EE172D"/>
    <w:rsid w:val="00EE3065"/>
    <w:rsid w:val="00EE3282"/>
    <w:rsid w:val="00EE58CE"/>
    <w:rsid w:val="00EF2C10"/>
    <w:rsid w:val="00EF3058"/>
    <w:rsid w:val="00EF35F0"/>
    <w:rsid w:val="00EF3898"/>
    <w:rsid w:val="00EF45BA"/>
    <w:rsid w:val="00EF45F4"/>
    <w:rsid w:val="00EF56FB"/>
    <w:rsid w:val="00F0163F"/>
    <w:rsid w:val="00F01F3D"/>
    <w:rsid w:val="00F04A97"/>
    <w:rsid w:val="00F102AD"/>
    <w:rsid w:val="00F11505"/>
    <w:rsid w:val="00F11BCB"/>
    <w:rsid w:val="00F12DEC"/>
    <w:rsid w:val="00F1355A"/>
    <w:rsid w:val="00F15D9E"/>
    <w:rsid w:val="00F164CB"/>
    <w:rsid w:val="00F16859"/>
    <w:rsid w:val="00F16B87"/>
    <w:rsid w:val="00F1715C"/>
    <w:rsid w:val="00F17746"/>
    <w:rsid w:val="00F17B52"/>
    <w:rsid w:val="00F2125A"/>
    <w:rsid w:val="00F230C3"/>
    <w:rsid w:val="00F2360A"/>
    <w:rsid w:val="00F23E21"/>
    <w:rsid w:val="00F247CC"/>
    <w:rsid w:val="00F254D9"/>
    <w:rsid w:val="00F25D97"/>
    <w:rsid w:val="00F30172"/>
    <w:rsid w:val="00F310F8"/>
    <w:rsid w:val="00F31CB0"/>
    <w:rsid w:val="00F322F7"/>
    <w:rsid w:val="00F3323B"/>
    <w:rsid w:val="00F34909"/>
    <w:rsid w:val="00F35939"/>
    <w:rsid w:val="00F35ED4"/>
    <w:rsid w:val="00F3692B"/>
    <w:rsid w:val="00F36DB5"/>
    <w:rsid w:val="00F45607"/>
    <w:rsid w:val="00F47636"/>
    <w:rsid w:val="00F50747"/>
    <w:rsid w:val="00F50EF0"/>
    <w:rsid w:val="00F50F6A"/>
    <w:rsid w:val="00F50FDB"/>
    <w:rsid w:val="00F55626"/>
    <w:rsid w:val="00F559B5"/>
    <w:rsid w:val="00F57E58"/>
    <w:rsid w:val="00F605EF"/>
    <w:rsid w:val="00F6142B"/>
    <w:rsid w:val="00F619FB"/>
    <w:rsid w:val="00F64741"/>
    <w:rsid w:val="00F64786"/>
    <w:rsid w:val="00F64B75"/>
    <w:rsid w:val="00F659EB"/>
    <w:rsid w:val="00F668E1"/>
    <w:rsid w:val="00F6691D"/>
    <w:rsid w:val="00F66D52"/>
    <w:rsid w:val="00F711F7"/>
    <w:rsid w:val="00F71BF8"/>
    <w:rsid w:val="00F71CFC"/>
    <w:rsid w:val="00F72017"/>
    <w:rsid w:val="00F73545"/>
    <w:rsid w:val="00F7374B"/>
    <w:rsid w:val="00F73B95"/>
    <w:rsid w:val="00F75095"/>
    <w:rsid w:val="00F75ADA"/>
    <w:rsid w:val="00F75DDF"/>
    <w:rsid w:val="00F803F9"/>
    <w:rsid w:val="00F8066F"/>
    <w:rsid w:val="00F814A1"/>
    <w:rsid w:val="00F81F07"/>
    <w:rsid w:val="00F8364C"/>
    <w:rsid w:val="00F84703"/>
    <w:rsid w:val="00F862D6"/>
    <w:rsid w:val="00F86877"/>
    <w:rsid w:val="00F86BA6"/>
    <w:rsid w:val="00F86EEF"/>
    <w:rsid w:val="00F921FE"/>
    <w:rsid w:val="00F95EF3"/>
    <w:rsid w:val="00F96D04"/>
    <w:rsid w:val="00F972A1"/>
    <w:rsid w:val="00FA2053"/>
    <w:rsid w:val="00FA2481"/>
    <w:rsid w:val="00FA4BDF"/>
    <w:rsid w:val="00FA6DC4"/>
    <w:rsid w:val="00FB0645"/>
    <w:rsid w:val="00FB13D6"/>
    <w:rsid w:val="00FB6B11"/>
    <w:rsid w:val="00FB77ED"/>
    <w:rsid w:val="00FB7B45"/>
    <w:rsid w:val="00FC0110"/>
    <w:rsid w:val="00FC099D"/>
    <w:rsid w:val="00FC1A23"/>
    <w:rsid w:val="00FC493A"/>
    <w:rsid w:val="00FC5F87"/>
    <w:rsid w:val="00FC6389"/>
    <w:rsid w:val="00FC7101"/>
    <w:rsid w:val="00FD0614"/>
    <w:rsid w:val="00FD1C1E"/>
    <w:rsid w:val="00FD6079"/>
    <w:rsid w:val="00FD617C"/>
    <w:rsid w:val="00FD6256"/>
    <w:rsid w:val="00FD6461"/>
    <w:rsid w:val="00FD7098"/>
    <w:rsid w:val="00FD7BE4"/>
    <w:rsid w:val="00FD7DAD"/>
    <w:rsid w:val="00FE03F6"/>
    <w:rsid w:val="00FE29CD"/>
    <w:rsid w:val="00FE2C50"/>
    <w:rsid w:val="00FE48D5"/>
    <w:rsid w:val="00FF1AEA"/>
    <w:rsid w:val="00FF2820"/>
    <w:rsid w:val="00FF3A44"/>
    <w:rsid w:val="00FF4959"/>
    <w:rsid w:val="00FF4CE4"/>
    <w:rsid w:val="00FF4DBD"/>
    <w:rsid w:val="00FF57B0"/>
    <w:rsid w:val="0136E39B"/>
    <w:rsid w:val="013CDA28"/>
    <w:rsid w:val="01F0FD81"/>
    <w:rsid w:val="021FA5D1"/>
    <w:rsid w:val="022221F0"/>
    <w:rsid w:val="027CB283"/>
    <w:rsid w:val="02AC5408"/>
    <w:rsid w:val="02BD8DB7"/>
    <w:rsid w:val="02F4DB64"/>
    <w:rsid w:val="02F5EEBA"/>
    <w:rsid w:val="03083D44"/>
    <w:rsid w:val="032B7977"/>
    <w:rsid w:val="0332AA65"/>
    <w:rsid w:val="03E15172"/>
    <w:rsid w:val="03F0C914"/>
    <w:rsid w:val="03FC7804"/>
    <w:rsid w:val="04CF0888"/>
    <w:rsid w:val="04E9D77A"/>
    <w:rsid w:val="04EF7ADD"/>
    <w:rsid w:val="05708595"/>
    <w:rsid w:val="0577C81F"/>
    <w:rsid w:val="058F3398"/>
    <w:rsid w:val="05905422"/>
    <w:rsid w:val="059353AD"/>
    <w:rsid w:val="05BF5928"/>
    <w:rsid w:val="05E9D803"/>
    <w:rsid w:val="05F63FF6"/>
    <w:rsid w:val="05FE938C"/>
    <w:rsid w:val="063A3B8B"/>
    <w:rsid w:val="067CA76A"/>
    <w:rsid w:val="070A809B"/>
    <w:rsid w:val="07587199"/>
    <w:rsid w:val="075876E5"/>
    <w:rsid w:val="07788F9E"/>
    <w:rsid w:val="07BA0A9A"/>
    <w:rsid w:val="07DE6D49"/>
    <w:rsid w:val="07ED1111"/>
    <w:rsid w:val="087EF7D6"/>
    <w:rsid w:val="0880BCD0"/>
    <w:rsid w:val="08B7F304"/>
    <w:rsid w:val="08D71CB8"/>
    <w:rsid w:val="08DF31B6"/>
    <w:rsid w:val="08F94413"/>
    <w:rsid w:val="0907EB4F"/>
    <w:rsid w:val="090FDDE0"/>
    <w:rsid w:val="091B4E0F"/>
    <w:rsid w:val="095D9D79"/>
    <w:rsid w:val="096C3971"/>
    <w:rsid w:val="09876FA5"/>
    <w:rsid w:val="09A2F3B6"/>
    <w:rsid w:val="09D81823"/>
    <w:rsid w:val="09E3C563"/>
    <w:rsid w:val="0A215282"/>
    <w:rsid w:val="0A56A803"/>
    <w:rsid w:val="0A8AE8E4"/>
    <w:rsid w:val="0AE82EDB"/>
    <w:rsid w:val="0B020C42"/>
    <w:rsid w:val="0B1D4825"/>
    <w:rsid w:val="0B2A0B94"/>
    <w:rsid w:val="0B5CDE83"/>
    <w:rsid w:val="0B6BE923"/>
    <w:rsid w:val="0B759B4F"/>
    <w:rsid w:val="0B7BD7D9"/>
    <w:rsid w:val="0BBFA0B5"/>
    <w:rsid w:val="0BCE673F"/>
    <w:rsid w:val="0C2A6DAC"/>
    <w:rsid w:val="0C523721"/>
    <w:rsid w:val="0C6FE319"/>
    <w:rsid w:val="0CA0D283"/>
    <w:rsid w:val="0CAA7F84"/>
    <w:rsid w:val="0CB8033E"/>
    <w:rsid w:val="0D55FCBA"/>
    <w:rsid w:val="0D5F97D7"/>
    <w:rsid w:val="0D9519B3"/>
    <w:rsid w:val="0DA45E07"/>
    <w:rsid w:val="0DB2D35A"/>
    <w:rsid w:val="0DC4CA6F"/>
    <w:rsid w:val="0E0B33C6"/>
    <w:rsid w:val="0E12BA8E"/>
    <w:rsid w:val="0E91F596"/>
    <w:rsid w:val="0EA055F6"/>
    <w:rsid w:val="0EBB1B31"/>
    <w:rsid w:val="0ED5AF35"/>
    <w:rsid w:val="0ED98AE0"/>
    <w:rsid w:val="0EF24983"/>
    <w:rsid w:val="0F158ACE"/>
    <w:rsid w:val="0F1616C6"/>
    <w:rsid w:val="0F1B4A0C"/>
    <w:rsid w:val="0F5C82EF"/>
    <w:rsid w:val="0F906FBD"/>
    <w:rsid w:val="0FA7ED8C"/>
    <w:rsid w:val="0FAB42B6"/>
    <w:rsid w:val="0FDB63F0"/>
    <w:rsid w:val="0FEEEAD0"/>
    <w:rsid w:val="0FFB23C9"/>
    <w:rsid w:val="10794B6A"/>
    <w:rsid w:val="10955C97"/>
    <w:rsid w:val="10970129"/>
    <w:rsid w:val="109D5AA8"/>
    <w:rsid w:val="10AC8A65"/>
    <w:rsid w:val="10E95387"/>
    <w:rsid w:val="10EB5D7E"/>
    <w:rsid w:val="11026D8D"/>
    <w:rsid w:val="1111D618"/>
    <w:rsid w:val="11388F9C"/>
    <w:rsid w:val="11652A23"/>
    <w:rsid w:val="1171FEED"/>
    <w:rsid w:val="11B82C9D"/>
    <w:rsid w:val="1280A09A"/>
    <w:rsid w:val="12864D45"/>
    <w:rsid w:val="1291926B"/>
    <w:rsid w:val="1294BF89"/>
    <w:rsid w:val="12AF7C9E"/>
    <w:rsid w:val="12EABF49"/>
    <w:rsid w:val="131F15E1"/>
    <w:rsid w:val="137A0770"/>
    <w:rsid w:val="13AD885C"/>
    <w:rsid w:val="13C79D9B"/>
    <w:rsid w:val="13DD762A"/>
    <w:rsid w:val="13E2D691"/>
    <w:rsid w:val="141C6779"/>
    <w:rsid w:val="14443646"/>
    <w:rsid w:val="14897EB3"/>
    <w:rsid w:val="149BE9D5"/>
    <w:rsid w:val="14A37A2A"/>
    <w:rsid w:val="14B3B61B"/>
    <w:rsid w:val="14DA56DC"/>
    <w:rsid w:val="14EE3B17"/>
    <w:rsid w:val="14FCE070"/>
    <w:rsid w:val="15221F8B"/>
    <w:rsid w:val="15856899"/>
    <w:rsid w:val="15F8E3C3"/>
    <w:rsid w:val="161DEDCC"/>
    <w:rsid w:val="16CA771A"/>
    <w:rsid w:val="16F76BAD"/>
    <w:rsid w:val="17009F00"/>
    <w:rsid w:val="1730E8A7"/>
    <w:rsid w:val="174BD039"/>
    <w:rsid w:val="177673BA"/>
    <w:rsid w:val="17C2CBFF"/>
    <w:rsid w:val="17ED9B28"/>
    <w:rsid w:val="180BFB61"/>
    <w:rsid w:val="1887FA77"/>
    <w:rsid w:val="18ABC621"/>
    <w:rsid w:val="18ED18A9"/>
    <w:rsid w:val="1917CA06"/>
    <w:rsid w:val="19265721"/>
    <w:rsid w:val="196758E4"/>
    <w:rsid w:val="196D514D"/>
    <w:rsid w:val="197D3F83"/>
    <w:rsid w:val="19A580F5"/>
    <w:rsid w:val="19CB232E"/>
    <w:rsid w:val="1A10C263"/>
    <w:rsid w:val="1A1C6084"/>
    <w:rsid w:val="1A1F9C61"/>
    <w:rsid w:val="1A2F4604"/>
    <w:rsid w:val="1A5616D4"/>
    <w:rsid w:val="1AAD54CA"/>
    <w:rsid w:val="1B0997C4"/>
    <w:rsid w:val="1B09BF12"/>
    <w:rsid w:val="1B131D67"/>
    <w:rsid w:val="1B194F99"/>
    <w:rsid w:val="1B19F60D"/>
    <w:rsid w:val="1B336BEF"/>
    <w:rsid w:val="1B4EF759"/>
    <w:rsid w:val="1B5C1CF5"/>
    <w:rsid w:val="1B6FB797"/>
    <w:rsid w:val="1B70D085"/>
    <w:rsid w:val="1B7F2FA0"/>
    <w:rsid w:val="1B8899AC"/>
    <w:rsid w:val="1B88EE29"/>
    <w:rsid w:val="1B9B8930"/>
    <w:rsid w:val="1C09050F"/>
    <w:rsid w:val="1C42A8A8"/>
    <w:rsid w:val="1C961325"/>
    <w:rsid w:val="1C963D22"/>
    <w:rsid w:val="1CE9F5CF"/>
    <w:rsid w:val="1D0EBCD2"/>
    <w:rsid w:val="1D16E487"/>
    <w:rsid w:val="1D22632F"/>
    <w:rsid w:val="1D820042"/>
    <w:rsid w:val="1D939E84"/>
    <w:rsid w:val="1DA33136"/>
    <w:rsid w:val="1DB42A92"/>
    <w:rsid w:val="1E1E59B4"/>
    <w:rsid w:val="1E415878"/>
    <w:rsid w:val="1E68BAC0"/>
    <w:rsid w:val="1E6CE6D2"/>
    <w:rsid w:val="1EA950F1"/>
    <w:rsid w:val="1ECD5D76"/>
    <w:rsid w:val="1F0467A7"/>
    <w:rsid w:val="1F45F204"/>
    <w:rsid w:val="1F8174AC"/>
    <w:rsid w:val="205075D7"/>
    <w:rsid w:val="2099CCD3"/>
    <w:rsid w:val="20F40782"/>
    <w:rsid w:val="213CB0C3"/>
    <w:rsid w:val="21463EB8"/>
    <w:rsid w:val="2185E3BA"/>
    <w:rsid w:val="223F9E4F"/>
    <w:rsid w:val="224AD58B"/>
    <w:rsid w:val="227D4809"/>
    <w:rsid w:val="22895D5A"/>
    <w:rsid w:val="228CF0C0"/>
    <w:rsid w:val="2299E311"/>
    <w:rsid w:val="22B6F643"/>
    <w:rsid w:val="22BE95AD"/>
    <w:rsid w:val="22D849C9"/>
    <w:rsid w:val="234A772A"/>
    <w:rsid w:val="236C92C9"/>
    <w:rsid w:val="23DF7D51"/>
    <w:rsid w:val="245B9BFB"/>
    <w:rsid w:val="248AFAD5"/>
    <w:rsid w:val="24C67C1B"/>
    <w:rsid w:val="253C77BC"/>
    <w:rsid w:val="257E363F"/>
    <w:rsid w:val="260CDB7E"/>
    <w:rsid w:val="2621BE53"/>
    <w:rsid w:val="262B4782"/>
    <w:rsid w:val="266ADBA0"/>
    <w:rsid w:val="267CE946"/>
    <w:rsid w:val="269EFF03"/>
    <w:rsid w:val="26CE4B61"/>
    <w:rsid w:val="26DCF9F3"/>
    <w:rsid w:val="2701E8DF"/>
    <w:rsid w:val="27098D85"/>
    <w:rsid w:val="27135EED"/>
    <w:rsid w:val="27196B0C"/>
    <w:rsid w:val="271B4664"/>
    <w:rsid w:val="2730E25B"/>
    <w:rsid w:val="276E1D85"/>
    <w:rsid w:val="277C55B1"/>
    <w:rsid w:val="27AEA939"/>
    <w:rsid w:val="27B6C897"/>
    <w:rsid w:val="27EF1AEE"/>
    <w:rsid w:val="2832292F"/>
    <w:rsid w:val="2838A80D"/>
    <w:rsid w:val="288FCB4B"/>
    <w:rsid w:val="28D7E1F8"/>
    <w:rsid w:val="28D88842"/>
    <w:rsid w:val="29087805"/>
    <w:rsid w:val="29737169"/>
    <w:rsid w:val="29BC011E"/>
    <w:rsid w:val="29DF3392"/>
    <w:rsid w:val="2A161AA9"/>
    <w:rsid w:val="2A18017D"/>
    <w:rsid w:val="2A8261C2"/>
    <w:rsid w:val="2AA1824B"/>
    <w:rsid w:val="2ACA3351"/>
    <w:rsid w:val="2AD5E78C"/>
    <w:rsid w:val="2AE4C696"/>
    <w:rsid w:val="2B0F0ACC"/>
    <w:rsid w:val="2BF075F1"/>
    <w:rsid w:val="2BF6726F"/>
    <w:rsid w:val="2C4C0062"/>
    <w:rsid w:val="2CA628A8"/>
    <w:rsid w:val="2D3F8C96"/>
    <w:rsid w:val="2D43C6FB"/>
    <w:rsid w:val="2D6F0D63"/>
    <w:rsid w:val="2D875077"/>
    <w:rsid w:val="2DBF6F21"/>
    <w:rsid w:val="2DEF5E0C"/>
    <w:rsid w:val="2E234A12"/>
    <w:rsid w:val="2E8B28D6"/>
    <w:rsid w:val="2F22CBE3"/>
    <w:rsid w:val="2F267648"/>
    <w:rsid w:val="2F74F36E"/>
    <w:rsid w:val="2FAB9BFF"/>
    <w:rsid w:val="2FB6D4B5"/>
    <w:rsid w:val="2FC8C811"/>
    <w:rsid w:val="2FD655DB"/>
    <w:rsid w:val="30319B0E"/>
    <w:rsid w:val="3087DFF6"/>
    <w:rsid w:val="30926F59"/>
    <w:rsid w:val="30BF23B5"/>
    <w:rsid w:val="30FCC020"/>
    <w:rsid w:val="31202A86"/>
    <w:rsid w:val="3130A9A2"/>
    <w:rsid w:val="315ACC7F"/>
    <w:rsid w:val="3174AE16"/>
    <w:rsid w:val="318D0FB2"/>
    <w:rsid w:val="31B5F34F"/>
    <w:rsid w:val="31C02E63"/>
    <w:rsid w:val="31C8517B"/>
    <w:rsid w:val="31D45B01"/>
    <w:rsid w:val="324039A7"/>
    <w:rsid w:val="325B02D5"/>
    <w:rsid w:val="326F15EA"/>
    <w:rsid w:val="32932CDD"/>
    <w:rsid w:val="3316066F"/>
    <w:rsid w:val="338B1D68"/>
    <w:rsid w:val="33B5E30F"/>
    <w:rsid w:val="33C48171"/>
    <w:rsid w:val="34139334"/>
    <w:rsid w:val="34B4B83E"/>
    <w:rsid w:val="34B557D2"/>
    <w:rsid w:val="34D4B589"/>
    <w:rsid w:val="34EB3DAF"/>
    <w:rsid w:val="350676DC"/>
    <w:rsid w:val="356ACBDC"/>
    <w:rsid w:val="35A36F70"/>
    <w:rsid w:val="35FF7454"/>
    <w:rsid w:val="36408FAE"/>
    <w:rsid w:val="3650A52B"/>
    <w:rsid w:val="3687010C"/>
    <w:rsid w:val="3690435A"/>
    <w:rsid w:val="36CC153C"/>
    <w:rsid w:val="36D1841E"/>
    <w:rsid w:val="36E9F956"/>
    <w:rsid w:val="36FB3D19"/>
    <w:rsid w:val="372513EC"/>
    <w:rsid w:val="37317142"/>
    <w:rsid w:val="376A1D1E"/>
    <w:rsid w:val="37A315E3"/>
    <w:rsid w:val="37A5F4B0"/>
    <w:rsid w:val="38512D6D"/>
    <w:rsid w:val="385FCC46"/>
    <w:rsid w:val="3867A86E"/>
    <w:rsid w:val="38C7E206"/>
    <w:rsid w:val="38CCBF34"/>
    <w:rsid w:val="38D22AE1"/>
    <w:rsid w:val="3944E1F5"/>
    <w:rsid w:val="3985C9D5"/>
    <w:rsid w:val="39B46079"/>
    <w:rsid w:val="39C91D97"/>
    <w:rsid w:val="39CFE824"/>
    <w:rsid w:val="39DE3C07"/>
    <w:rsid w:val="3A0CA9C4"/>
    <w:rsid w:val="3A26ABFA"/>
    <w:rsid w:val="3A3849AD"/>
    <w:rsid w:val="3A494F53"/>
    <w:rsid w:val="3AA3D965"/>
    <w:rsid w:val="3AA66B3E"/>
    <w:rsid w:val="3ACB7171"/>
    <w:rsid w:val="3B04DACA"/>
    <w:rsid w:val="3B3F121B"/>
    <w:rsid w:val="3B5FF27F"/>
    <w:rsid w:val="3B986EA1"/>
    <w:rsid w:val="3BB90193"/>
    <w:rsid w:val="3BE54A8B"/>
    <w:rsid w:val="3C067ADE"/>
    <w:rsid w:val="3C23BD98"/>
    <w:rsid w:val="3C245F17"/>
    <w:rsid w:val="3C4DCF6E"/>
    <w:rsid w:val="3C5AC900"/>
    <w:rsid w:val="3D0B30DC"/>
    <w:rsid w:val="3D14BE0F"/>
    <w:rsid w:val="3D360CBE"/>
    <w:rsid w:val="3D75B4F5"/>
    <w:rsid w:val="3D883699"/>
    <w:rsid w:val="3E1CB64F"/>
    <w:rsid w:val="3EA8BDC8"/>
    <w:rsid w:val="3ED2D660"/>
    <w:rsid w:val="3F1C26C1"/>
    <w:rsid w:val="3F32E700"/>
    <w:rsid w:val="3F76D84C"/>
    <w:rsid w:val="40043963"/>
    <w:rsid w:val="402BB40A"/>
    <w:rsid w:val="40324331"/>
    <w:rsid w:val="409662CD"/>
    <w:rsid w:val="40C19D0E"/>
    <w:rsid w:val="40D8475C"/>
    <w:rsid w:val="4135FC4A"/>
    <w:rsid w:val="414B2F3A"/>
    <w:rsid w:val="4179B025"/>
    <w:rsid w:val="417AAF32"/>
    <w:rsid w:val="41906FDC"/>
    <w:rsid w:val="419A085E"/>
    <w:rsid w:val="41BF71B9"/>
    <w:rsid w:val="41D2ED8C"/>
    <w:rsid w:val="41DE7C20"/>
    <w:rsid w:val="41E05E8A"/>
    <w:rsid w:val="425CBCF3"/>
    <w:rsid w:val="42819B49"/>
    <w:rsid w:val="42ED33F2"/>
    <w:rsid w:val="4308F58A"/>
    <w:rsid w:val="433331BE"/>
    <w:rsid w:val="43C7A313"/>
    <w:rsid w:val="43E48BBE"/>
    <w:rsid w:val="441D20FD"/>
    <w:rsid w:val="442FAD70"/>
    <w:rsid w:val="444D4D84"/>
    <w:rsid w:val="444DEB34"/>
    <w:rsid w:val="445870E9"/>
    <w:rsid w:val="44EEEDE3"/>
    <w:rsid w:val="451C6872"/>
    <w:rsid w:val="451CAB68"/>
    <w:rsid w:val="451FFA94"/>
    <w:rsid w:val="4590BB5A"/>
    <w:rsid w:val="45A4DC2C"/>
    <w:rsid w:val="4636D135"/>
    <w:rsid w:val="463C4722"/>
    <w:rsid w:val="4652966A"/>
    <w:rsid w:val="467CA1F1"/>
    <w:rsid w:val="46950C51"/>
    <w:rsid w:val="46D6BD4E"/>
    <w:rsid w:val="46F63530"/>
    <w:rsid w:val="47153F5F"/>
    <w:rsid w:val="472B35E8"/>
    <w:rsid w:val="4731C004"/>
    <w:rsid w:val="474A1717"/>
    <w:rsid w:val="47580A65"/>
    <w:rsid w:val="4762ED47"/>
    <w:rsid w:val="4787ED53"/>
    <w:rsid w:val="47AE0EB1"/>
    <w:rsid w:val="47F72B14"/>
    <w:rsid w:val="48246E09"/>
    <w:rsid w:val="4829255F"/>
    <w:rsid w:val="482D4AED"/>
    <w:rsid w:val="48519ACA"/>
    <w:rsid w:val="485A882B"/>
    <w:rsid w:val="485E970F"/>
    <w:rsid w:val="488746A6"/>
    <w:rsid w:val="48B0091B"/>
    <w:rsid w:val="48E7BF79"/>
    <w:rsid w:val="490CD0C2"/>
    <w:rsid w:val="495FD13E"/>
    <w:rsid w:val="49BB473F"/>
    <w:rsid w:val="4A197B00"/>
    <w:rsid w:val="4A5483EF"/>
    <w:rsid w:val="4A93E601"/>
    <w:rsid w:val="4AB14C12"/>
    <w:rsid w:val="4AD4D6FB"/>
    <w:rsid w:val="4AEF1AA7"/>
    <w:rsid w:val="4AF59C2F"/>
    <w:rsid w:val="4B6258B7"/>
    <w:rsid w:val="4B8F3C18"/>
    <w:rsid w:val="4B90D87E"/>
    <w:rsid w:val="4BC9080C"/>
    <w:rsid w:val="4BFC3B43"/>
    <w:rsid w:val="4C69459E"/>
    <w:rsid w:val="4C7C1028"/>
    <w:rsid w:val="4C98A939"/>
    <w:rsid w:val="4CA9CEE3"/>
    <w:rsid w:val="4CBAE59C"/>
    <w:rsid w:val="4D1D8C36"/>
    <w:rsid w:val="4D397FE7"/>
    <w:rsid w:val="4D3FCBA1"/>
    <w:rsid w:val="4D72B4DE"/>
    <w:rsid w:val="4DA0A5D9"/>
    <w:rsid w:val="4DA5B761"/>
    <w:rsid w:val="4DBB309C"/>
    <w:rsid w:val="4DE123D5"/>
    <w:rsid w:val="4DF91BD0"/>
    <w:rsid w:val="4E4807E7"/>
    <w:rsid w:val="4ED05BB8"/>
    <w:rsid w:val="4F00BF92"/>
    <w:rsid w:val="4F3A1CF0"/>
    <w:rsid w:val="4F469B77"/>
    <w:rsid w:val="4F4A994B"/>
    <w:rsid w:val="4F5700FD"/>
    <w:rsid w:val="4F9DEB06"/>
    <w:rsid w:val="4FA75068"/>
    <w:rsid w:val="5023ECF3"/>
    <w:rsid w:val="50335601"/>
    <w:rsid w:val="5091ED5C"/>
    <w:rsid w:val="50A23A77"/>
    <w:rsid w:val="50BC7288"/>
    <w:rsid w:val="50C3947A"/>
    <w:rsid w:val="5161F558"/>
    <w:rsid w:val="5171A33D"/>
    <w:rsid w:val="51F170C9"/>
    <w:rsid w:val="521FD314"/>
    <w:rsid w:val="522027BE"/>
    <w:rsid w:val="523DEB58"/>
    <w:rsid w:val="526CC28E"/>
    <w:rsid w:val="52754F31"/>
    <w:rsid w:val="528A799D"/>
    <w:rsid w:val="52975999"/>
    <w:rsid w:val="52B0DD27"/>
    <w:rsid w:val="533D8921"/>
    <w:rsid w:val="53B2DBEF"/>
    <w:rsid w:val="53CB71E9"/>
    <w:rsid w:val="53DE8718"/>
    <w:rsid w:val="544CA527"/>
    <w:rsid w:val="5462DD6A"/>
    <w:rsid w:val="54683D8D"/>
    <w:rsid w:val="548991AF"/>
    <w:rsid w:val="548EB9BE"/>
    <w:rsid w:val="549A2BF9"/>
    <w:rsid w:val="5508C93A"/>
    <w:rsid w:val="551EF99E"/>
    <w:rsid w:val="5526FAE7"/>
    <w:rsid w:val="5530E6F7"/>
    <w:rsid w:val="5532A854"/>
    <w:rsid w:val="553E0BE4"/>
    <w:rsid w:val="556C2734"/>
    <w:rsid w:val="55C623B6"/>
    <w:rsid w:val="55FC41E7"/>
    <w:rsid w:val="562CEA0F"/>
    <w:rsid w:val="564ABC1F"/>
    <w:rsid w:val="564CA882"/>
    <w:rsid w:val="565F93A1"/>
    <w:rsid w:val="5660D712"/>
    <w:rsid w:val="5673C234"/>
    <w:rsid w:val="5674B20D"/>
    <w:rsid w:val="56FAED79"/>
    <w:rsid w:val="572EEFD7"/>
    <w:rsid w:val="57587655"/>
    <w:rsid w:val="5794569E"/>
    <w:rsid w:val="57DCC4BC"/>
    <w:rsid w:val="58082CDC"/>
    <w:rsid w:val="5814CE3C"/>
    <w:rsid w:val="582596A0"/>
    <w:rsid w:val="5857A73B"/>
    <w:rsid w:val="58685CCA"/>
    <w:rsid w:val="587E6901"/>
    <w:rsid w:val="589ACD5E"/>
    <w:rsid w:val="58A43368"/>
    <w:rsid w:val="58C60FA9"/>
    <w:rsid w:val="58CAC038"/>
    <w:rsid w:val="58EA0FC7"/>
    <w:rsid w:val="59104EAF"/>
    <w:rsid w:val="598C1955"/>
    <w:rsid w:val="59EEAC31"/>
    <w:rsid w:val="59F8B5BA"/>
    <w:rsid w:val="5A1AC64D"/>
    <w:rsid w:val="5A3673A3"/>
    <w:rsid w:val="5A6176D9"/>
    <w:rsid w:val="5A669099"/>
    <w:rsid w:val="5A986E8C"/>
    <w:rsid w:val="5ABB9C72"/>
    <w:rsid w:val="5AC2AA7F"/>
    <w:rsid w:val="5AE3FDCD"/>
    <w:rsid w:val="5AF9AC59"/>
    <w:rsid w:val="5AFE1200"/>
    <w:rsid w:val="5B10CC0F"/>
    <w:rsid w:val="5B12E839"/>
    <w:rsid w:val="5B27E9E4"/>
    <w:rsid w:val="5B641190"/>
    <w:rsid w:val="5B657172"/>
    <w:rsid w:val="5BC4358F"/>
    <w:rsid w:val="5BCA9FE0"/>
    <w:rsid w:val="5BE49991"/>
    <w:rsid w:val="5BE72141"/>
    <w:rsid w:val="5C27DF66"/>
    <w:rsid w:val="5C321401"/>
    <w:rsid w:val="5C3A2892"/>
    <w:rsid w:val="5C705FD8"/>
    <w:rsid w:val="5C77FF30"/>
    <w:rsid w:val="5C7F1604"/>
    <w:rsid w:val="5D1C64ED"/>
    <w:rsid w:val="5D68D5D9"/>
    <w:rsid w:val="5D9ACB2F"/>
    <w:rsid w:val="5D9B243C"/>
    <w:rsid w:val="5DF61779"/>
    <w:rsid w:val="5E29959E"/>
    <w:rsid w:val="5E2B4EE4"/>
    <w:rsid w:val="5E63D0DF"/>
    <w:rsid w:val="5E87A9E3"/>
    <w:rsid w:val="5E8A7F89"/>
    <w:rsid w:val="5E9B9809"/>
    <w:rsid w:val="5EB32EEE"/>
    <w:rsid w:val="5EFC4436"/>
    <w:rsid w:val="5F2C006F"/>
    <w:rsid w:val="5FB1A002"/>
    <w:rsid w:val="5FB3718B"/>
    <w:rsid w:val="5FC1CDC9"/>
    <w:rsid w:val="5FCC27B4"/>
    <w:rsid w:val="6031997C"/>
    <w:rsid w:val="60E5E288"/>
    <w:rsid w:val="613EC842"/>
    <w:rsid w:val="6145B8B8"/>
    <w:rsid w:val="6199E403"/>
    <w:rsid w:val="61A94D8B"/>
    <w:rsid w:val="61FB6DA5"/>
    <w:rsid w:val="620BE3A1"/>
    <w:rsid w:val="621A497E"/>
    <w:rsid w:val="621A53D5"/>
    <w:rsid w:val="6227E93B"/>
    <w:rsid w:val="62327B06"/>
    <w:rsid w:val="63011ECB"/>
    <w:rsid w:val="63058D87"/>
    <w:rsid w:val="63373EBD"/>
    <w:rsid w:val="635A0A29"/>
    <w:rsid w:val="635D3C84"/>
    <w:rsid w:val="63E733FD"/>
    <w:rsid w:val="63F8483A"/>
    <w:rsid w:val="64002362"/>
    <w:rsid w:val="64EA6006"/>
    <w:rsid w:val="651B3080"/>
    <w:rsid w:val="6548ECB8"/>
    <w:rsid w:val="6590FAE3"/>
    <w:rsid w:val="65B8212C"/>
    <w:rsid w:val="65D1D400"/>
    <w:rsid w:val="6633E0D5"/>
    <w:rsid w:val="66457117"/>
    <w:rsid w:val="6681C173"/>
    <w:rsid w:val="668874E4"/>
    <w:rsid w:val="66B756A9"/>
    <w:rsid w:val="66C02D61"/>
    <w:rsid w:val="66C6282A"/>
    <w:rsid w:val="66DC3499"/>
    <w:rsid w:val="66E406BC"/>
    <w:rsid w:val="66FF85DF"/>
    <w:rsid w:val="678819EC"/>
    <w:rsid w:val="67E14178"/>
    <w:rsid w:val="67EBBEB4"/>
    <w:rsid w:val="67F3E062"/>
    <w:rsid w:val="6816CB29"/>
    <w:rsid w:val="682F1209"/>
    <w:rsid w:val="68808D7A"/>
    <w:rsid w:val="6899B5D7"/>
    <w:rsid w:val="691AEFF7"/>
    <w:rsid w:val="691C45A2"/>
    <w:rsid w:val="6921931C"/>
    <w:rsid w:val="69636EF8"/>
    <w:rsid w:val="69B16DEE"/>
    <w:rsid w:val="69D1D93E"/>
    <w:rsid w:val="6A0890C5"/>
    <w:rsid w:val="6A27A0D1"/>
    <w:rsid w:val="6A307A6A"/>
    <w:rsid w:val="6A3C9A15"/>
    <w:rsid w:val="6A4DB17B"/>
    <w:rsid w:val="6ABB433C"/>
    <w:rsid w:val="6AFD7DF0"/>
    <w:rsid w:val="6AFE4EB5"/>
    <w:rsid w:val="6B14817A"/>
    <w:rsid w:val="6B99D58B"/>
    <w:rsid w:val="6BA66917"/>
    <w:rsid w:val="6BB307D7"/>
    <w:rsid w:val="6BBA51A9"/>
    <w:rsid w:val="6BE981DC"/>
    <w:rsid w:val="6C058576"/>
    <w:rsid w:val="6C94D2AF"/>
    <w:rsid w:val="6CB73425"/>
    <w:rsid w:val="6CDAD888"/>
    <w:rsid w:val="6D32DCAC"/>
    <w:rsid w:val="6D421A12"/>
    <w:rsid w:val="6D459076"/>
    <w:rsid w:val="6D7BFBAD"/>
    <w:rsid w:val="6D7D2FBC"/>
    <w:rsid w:val="6DAFE7AA"/>
    <w:rsid w:val="6DB9DB53"/>
    <w:rsid w:val="6E057457"/>
    <w:rsid w:val="6E0A73FF"/>
    <w:rsid w:val="6E0F6318"/>
    <w:rsid w:val="6E2A4F51"/>
    <w:rsid w:val="6E31E0E1"/>
    <w:rsid w:val="6E5B5BD4"/>
    <w:rsid w:val="6E5CD683"/>
    <w:rsid w:val="6E933389"/>
    <w:rsid w:val="6F021BE6"/>
    <w:rsid w:val="6F1F050E"/>
    <w:rsid w:val="6F28B90D"/>
    <w:rsid w:val="6F7662A5"/>
    <w:rsid w:val="6FBB52CB"/>
    <w:rsid w:val="6FE1AB7C"/>
    <w:rsid w:val="700095B2"/>
    <w:rsid w:val="700E778E"/>
    <w:rsid w:val="7021C9A9"/>
    <w:rsid w:val="70CCCF40"/>
    <w:rsid w:val="71682970"/>
    <w:rsid w:val="71805952"/>
    <w:rsid w:val="7197EDA0"/>
    <w:rsid w:val="71E225C7"/>
    <w:rsid w:val="71E88B60"/>
    <w:rsid w:val="72276FC0"/>
    <w:rsid w:val="722F5D46"/>
    <w:rsid w:val="728B4640"/>
    <w:rsid w:val="72961A00"/>
    <w:rsid w:val="72BC3655"/>
    <w:rsid w:val="72E6CF42"/>
    <w:rsid w:val="72FAD0FD"/>
    <w:rsid w:val="7309F9AE"/>
    <w:rsid w:val="7323E920"/>
    <w:rsid w:val="73504324"/>
    <w:rsid w:val="73798B05"/>
    <w:rsid w:val="74178441"/>
    <w:rsid w:val="741C24AB"/>
    <w:rsid w:val="74385E4B"/>
    <w:rsid w:val="743DA569"/>
    <w:rsid w:val="746F7963"/>
    <w:rsid w:val="74716AAD"/>
    <w:rsid w:val="74A4F988"/>
    <w:rsid w:val="74A91DAD"/>
    <w:rsid w:val="74E8DF1A"/>
    <w:rsid w:val="7500A7A4"/>
    <w:rsid w:val="7501E7C3"/>
    <w:rsid w:val="7566FE08"/>
    <w:rsid w:val="756B9D03"/>
    <w:rsid w:val="75B354A2"/>
    <w:rsid w:val="75BF700D"/>
    <w:rsid w:val="75FAF1D0"/>
    <w:rsid w:val="760ECF27"/>
    <w:rsid w:val="76DB4F34"/>
    <w:rsid w:val="76EC0E63"/>
    <w:rsid w:val="7723A711"/>
    <w:rsid w:val="77A48C7A"/>
    <w:rsid w:val="781C2846"/>
    <w:rsid w:val="78634397"/>
    <w:rsid w:val="787E8A5E"/>
    <w:rsid w:val="791DD55A"/>
    <w:rsid w:val="79589861"/>
    <w:rsid w:val="7972F2D2"/>
    <w:rsid w:val="79C88056"/>
    <w:rsid w:val="7A304D5C"/>
    <w:rsid w:val="7A66CD03"/>
    <w:rsid w:val="7AA6FC80"/>
    <w:rsid w:val="7AD154C8"/>
    <w:rsid w:val="7B07CFF2"/>
    <w:rsid w:val="7B484B9C"/>
    <w:rsid w:val="7B554674"/>
    <w:rsid w:val="7B7EB8B8"/>
    <w:rsid w:val="7BAB9D06"/>
    <w:rsid w:val="7BB37783"/>
    <w:rsid w:val="7BBAC95D"/>
    <w:rsid w:val="7BD13409"/>
    <w:rsid w:val="7BD80C04"/>
    <w:rsid w:val="7BE1D5D8"/>
    <w:rsid w:val="7C38B1C9"/>
    <w:rsid w:val="7C78EFF5"/>
    <w:rsid w:val="7CDD92C8"/>
    <w:rsid w:val="7D02D96F"/>
    <w:rsid w:val="7D23A7D7"/>
    <w:rsid w:val="7D2797E3"/>
    <w:rsid w:val="7D2868AC"/>
    <w:rsid w:val="7D3F2415"/>
    <w:rsid w:val="7D7739C6"/>
    <w:rsid w:val="7D8293A1"/>
    <w:rsid w:val="7D9DB6BB"/>
    <w:rsid w:val="7DBBE7B6"/>
    <w:rsid w:val="7DE113FF"/>
    <w:rsid w:val="7DF48546"/>
    <w:rsid w:val="7E274453"/>
    <w:rsid w:val="7E950705"/>
    <w:rsid w:val="7E99C15D"/>
    <w:rsid w:val="7EB222B4"/>
    <w:rsid w:val="7ED08C9B"/>
    <w:rsid w:val="7F0DE04E"/>
    <w:rsid w:val="7F14FC59"/>
    <w:rsid w:val="7F5996B8"/>
    <w:rsid w:val="7FD8F390"/>
    <w:rsid w:val="7FEBD05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695E8"/>
  <w14:defaultImageDpi w14:val="32767"/>
  <w15:docId w15:val="{2BF6AF68-752E-47EB-8004-9DB1A3FA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05EF"/>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5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Bullet Number,Bullet List,FooterText,numbered,Paragraphe de liste1,Bulletr List Paragraph,列出段落,列出段落1,List Paragraph2,List Paragraph21,Listeafsnit1,Parágrafo da Lista1,Párrafo de lista1,リスト段落1,Bullet list,Odstavec_muj,Nad,Odrazky"/>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8"/>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9"/>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6"/>
      </w:numPr>
    </w:pPr>
  </w:style>
  <w:style w:type="numbering" w:customStyle="1" w:styleId="ListBulletmultilevel">
    <w:name w:val="List Bullet (multilevel)"/>
    <w:uiPriority w:val="99"/>
    <w:rsid w:val="0026785D"/>
    <w:pPr>
      <w:numPr>
        <w:numId w:val="7"/>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E778BA"/>
    <w:rPr>
      <w:sz w:val="16"/>
      <w:szCs w:val="16"/>
    </w:rPr>
  </w:style>
  <w:style w:type="paragraph" w:styleId="Textkomente">
    <w:name w:val="annotation text"/>
    <w:basedOn w:val="Normln"/>
    <w:link w:val="TextkomenteChar"/>
    <w:uiPriority w:val="99"/>
    <w:unhideWhenUsed/>
    <w:rsid w:val="00E778BA"/>
    <w:pPr>
      <w:spacing w:line="240" w:lineRule="auto"/>
    </w:pPr>
    <w:rPr>
      <w:sz w:val="20"/>
      <w:szCs w:val="20"/>
    </w:rPr>
  </w:style>
  <w:style w:type="character" w:customStyle="1" w:styleId="TextkomenteChar">
    <w:name w:val="Text komentáře Char"/>
    <w:basedOn w:val="Standardnpsmoodstavce"/>
    <w:link w:val="Textkomente"/>
    <w:uiPriority w:val="99"/>
    <w:rsid w:val="00E778BA"/>
    <w:rPr>
      <w:sz w:val="20"/>
      <w:szCs w:val="20"/>
    </w:rPr>
  </w:style>
  <w:style w:type="paragraph" w:styleId="Pedmtkomente">
    <w:name w:val="annotation subject"/>
    <w:basedOn w:val="Textkomente"/>
    <w:next w:val="Textkomente"/>
    <w:link w:val="PedmtkomenteChar"/>
    <w:uiPriority w:val="99"/>
    <w:semiHidden/>
    <w:unhideWhenUsed/>
    <w:rsid w:val="00E778BA"/>
    <w:rPr>
      <w:b/>
      <w:bCs/>
    </w:rPr>
  </w:style>
  <w:style w:type="character" w:customStyle="1" w:styleId="PedmtkomenteChar">
    <w:name w:val="Předmět komentáře Char"/>
    <w:basedOn w:val="TextkomenteChar"/>
    <w:link w:val="Pedmtkomente"/>
    <w:uiPriority w:val="99"/>
    <w:semiHidden/>
    <w:rsid w:val="00E778BA"/>
    <w:rPr>
      <w:b/>
      <w:bCs/>
      <w:sz w:val="20"/>
      <w:szCs w:val="20"/>
    </w:rPr>
  </w:style>
  <w:style w:type="paragraph" w:styleId="Revize">
    <w:name w:val="Revision"/>
    <w:hidden/>
    <w:uiPriority w:val="99"/>
    <w:semiHidden/>
    <w:rsid w:val="00E876BD"/>
    <w:pPr>
      <w:spacing w:after="0" w:line="240" w:lineRule="auto"/>
    </w:pPr>
  </w:style>
  <w:style w:type="character" w:customStyle="1" w:styleId="Nevyeenzmnka1">
    <w:name w:val="Nevyřešená zmínka1"/>
    <w:basedOn w:val="Standardnpsmoodstavce"/>
    <w:uiPriority w:val="99"/>
    <w:semiHidden/>
    <w:unhideWhenUsed/>
    <w:rsid w:val="00FA4BDF"/>
    <w:rPr>
      <w:color w:val="605E5C"/>
      <w:shd w:val="clear" w:color="auto" w:fill="E1DFDD"/>
    </w:rPr>
  </w:style>
  <w:style w:type="table" w:styleId="Svtlmkatabulky">
    <w:name w:val="Grid Table Light"/>
    <w:basedOn w:val="Normlntabulka"/>
    <w:uiPriority w:val="40"/>
    <w:rsid w:val="00EE172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rmaltextrun">
    <w:name w:val="normaltextrun"/>
    <w:basedOn w:val="Standardnpsmoodstavce"/>
    <w:rsid w:val="00945B42"/>
  </w:style>
  <w:style w:type="character" w:customStyle="1" w:styleId="eop">
    <w:name w:val="eop"/>
    <w:basedOn w:val="Standardnpsmoodstavce"/>
    <w:rsid w:val="00945B42"/>
  </w:style>
  <w:style w:type="character" w:customStyle="1" w:styleId="Nevyeenzmnka2">
    <w:name w:val="Nevyřešená zmínka2"/>
    <w:basedOn w:val="Standardnpsmoodstavce"/>
    <w:uiPriority w:val="99"/>
    <w:semiHidden/>
    <w:unhideWhenUsed/>
    <w:rsid w:val="001721A7"/>
    <w:rPr>
      <w:color w:val="605E5C"/>
      <w:shd w:val="clear" w:color="auto" w:fill="E1DFDD"/>
    </w:rPr>
  </w:style>
  <w:style w:type="character" w:customStyle="1" w:styleId="ui-provider">
    <w:name w:val="ui-provider"/>
    <w:basedOn w:val="Standardnpsmoodstavce"/>
    <w:rsid w:val="00F75DDF"/>
  </w:style>
  <w:style w:type="character" w:customStyle="1" w:styleId="tabchar">
    <w:name w:val="tabchar"/>
    <w:basedOn w:val="Standardnpsmoodstavce"/>
    <w:rsid w:val="00883499"/>
  </w:style>
  <w:style w:type="character" w:customStyle="1" w:styleId="OdstavecseseznamemChar">
    <w:name w:val="Odstavec se seznamem Char"/>
    <w:aliases w:val="Bullet Number Char,Bullet List Char,FooterText Char,numbered Char,Paragraphe de liste1 Char,Bulletr List Paragraph Char,列出段落 Char,列出段落1 Char,List Paragraph2 Char,List Paragraph21 Char,Listeafsnit1 Char,Parágrafo da Lista1 Char"/>
    <w:basedOn w:val="Standardnpsmoodstavce"/>
    <w:link w:val="Odstavecseseznamem"/>
    <w:uiPriority w:val="34"/>
    <w:rsid w:val="0054588B"/>
  </w:style>
  <w:style w:type="table" w:styleId="Svtltabulkasmkou1">
    <w:name w:val="Grid Table 1 Light"/>
    <w:basedOn w:val="Normlntabulka"/>
    <w:uiPriority w:val="46"/>
    <w:rsid w:val="00AB4F80"/>
    <w:pPr>
      <w:spacing w:after="0" w:line="240" w:lineRule="auto"/>
    </w:pPr>
    <w:rPr>
      <w:sz w:val="22"/>
      <w:szCs w:val="22"/>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ln"/>
    <w:rsid w:val="00024838"/>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60383">
      <w:bodyDiv w:val="1"/>
      <w:marLeft w:val="0"/>
      <w:marRight w:val="0"/>
      <w:marTop w:val="0"/>
      <w:marBottom w:val="0"/>
      <w:divBdr>
        <w:top w:val="none" w:sz="0" w:space="0" w:color="auto"/>
        <w:left w:val="none" w:sz="0" w:space="0" w:color="auto"/>
        <w:bottom w:val="none" w:sz="0" w:space="0" w:color="auto"/>
        <w:right w:val="none" w:sz="0" w:space="0" w:color="auto"/>
      </w:divBdr>
    </w:div>
    <w:div w:id="538323571">
      <w:bodyDiv w:val="1"/>
      <w:marLeft w:val="0"/>
      <w:marRight w:val="0"/>
      <w:marTop w:val="0"/>
      <w:marBottom w:val="0"/>
      <w:divBdr>
        <w:top w:val="none" w:sz="0" w:space="0" w:color="auto"/>
        <w:left w:val="none" w:sz="0" w:space="0" w:color="auto"/>
        <w:bottom w:val="none" w:sz="0" w:space="0" w:color="auto"/>
        <w:right w:val="none" w:sz="0" w:space="0" w:color="auto"/>
      </w:divBdr>
    </w:div>
    <w:div w:id="716318043">
      <w:bodyDiv w:val="1"/>
      <w:marLeft w:val="0"/>
      <w:marRight w:val="0"/>
      <w:marTop w:val="0"/>
      <w:marBottom w:val="0"/>
      <w:divBdr>
        <w:top w:val="none" w:sz="0" w:space="0" w:color="auto"/>
        <w:left w:val="none" w:sz="0" w:space="0" w:color="auto"/>
        <w:bottom w:val="none" w:sz="0" w:space="0" w:color="auto"/>
        <w:right w:val="none" w:sz="0" w:space="0" w:color="auto"/>
      </w:divBdr>
      <w:divsChild>
        <w:div w:id="1338195106">
          <w:marLeft w:val="0"/>
          <w:marRight w:val="0"/>
          <w:marTop w:val="0"/>
          <w:marBottom w:val="0"/>
          <w:divBdr>
            <w:top w:val="none" w:sz="0" w:space="0" w:color="auto"/>
            <w:left w:val="none" w:sz="0" w:space="0" w:color="auto"/>
            <w:bottom w:val="none" w:sz="0" w:space="0" w:color="auto"/>
            <w:right w:val="none" w:sz="0" w:space="0" w:color="auto"/>
          </w:divBdr>
        </w:div>
      </w:divsChild>
    </w:div>
    <w:div w:id="738212266">
      <w:bodyDiv w:val="1"/>
      <w:marLeft w:val="0"/>
      <w:marRight w:val="0"/>
      <w:marTop w:val="0"/>
      <w:marBottom w:val="0"/>
      <w:divBdr>
        <w:top w:val="none" w:sz="0" w:space="0" w:color="auto"/>
        <w:left w:val="none" w:sz="0" w:space="0" w:color="auto"/>
        <w:bottom w:val="none" w:sz="0" w:space="0" w:color="auto"/>
        <w:right w:val="none" w:sz="0" w:space="0" w:color="auto"/>
      </w:divBdr>
    </w:div>
    <w:div w:id="823618978">
      <w:bodyDiv w:val="1"/>
      <w:marLeft w:val="0"/>
      <w:marRight w:val="0"/>
      <w:marTop w:val="0"/>
      <w:marBottom w:val="0"/>
      <w:divBdr>
        <w:top w:val="none" w:sz="0" w:space="0" w:color="auto"/>
        <w:left w:val="none" w:sz="0" w:space="0" w:color="auto"/>
        <w:bottom w:val="none" w:sz="0" w:space="0" w:color="auto"/>
        <w:right w:val="none" w:sz="0" w:space="0" w:color="auto"/>
      </w:divBdr>
    </w:div>
    <w:div w:id="946934309">
      <w:bodyDiv w:val="1"/>
      <w:marLeft w:val="0"/>
      <w:marRight w:val="0"/>
      <w:marTop w:val="0"/>
      <w:marBottom w:val="0"/>
      <w:divBdr>
        <w:top w:val="none" w:sz="0" w:space="0" w:color="auto"/>
        <w:left w:val="none" w:sz="0" w:space="0" w:color="auto"/>
        <w:bottom w:val="none" w:sz="0" w:space="0" w:color="auto"/>
        <w:right w:val="none" w:sz="0" w:space="0" w:color="auto"/>
      </w:divBdr>
      <w:divsChild>
        <w:div w:id="372272854">
          <w:marLeft w:val="0"/>
          <w:marRight w:val="0"/>
          <w:marTop w:val="0"/>
          <w:marBottom w:val="0"/>
          <w:divBdr>
            <w:top w:val="none" w:sz="0" w:space="0" w:color="auto"/>
            <w:left w:val="none" w:sz="0" w:space="0" w:color="auto"/>
            <w:bottom w:val="none" w:sz="0" w:space="0" w:color="auto"/>
            <w:right w:val="none" w:sz="0" w:space="0" w:color="auto"/>
          </w:divBdr>
        </w:div>
      </w:divsChild>
    </w:div>
    <w:div w:id="1085760638">
      <w:bodyDiv w:val="1"/>
      <w:marLeft w:val="0"/>
      <w:marRight w:val="0"/>
      <w:marTop w:val="0"/>
      <w:marBottom w:val="0"/>
      <w:divBdr>
        <w:top w:val="none" w:sz="0" w:space="0" w:color="auto"/>
        <w:left w:val="none" w:sz="0" w:space="0" w:color="auto"/>
        <w:bottom w:val="none" w:sz="0" w:space="0" w:color="auto"/>
        <w:right w:val="none" w:sz="0" w:space="0" w:color="auto"/>
      </w:divBdr>
    </w:div>
    <w:div w:id="1340695766">
      <w:bodyDiv w:val="1"/>
      <w:marLeft w:val="0"/>
      <w:marRight w:val="0"/>
      <w:marTop w:val="0"/>
      <w:marBottom w:val="0"/>
      <w:divBdr>
        <w:top w:val="none" w:sz="0" w:space="0" w:color="auto"/>
        <w:left w:val="none" w:sz="0" w:space="0" w:color="auto"/>
        <w:bottom w:val="none" w:sz="0" w:space="0" w:color="auto"/>
        <w:right w:val="none" w:sz="0" w:space="0" w:color="auto"/>
      </w:divBdr>
      <w:divsChild>
        <w:div w:id="171845772">
          <w:marLeft w:val="0"/>
          <w:marRight w:val="0"/>
          <w:marTop w:val="0"/>
          <w:marBottom w:val="0"/>
          <w:divBdr>
            <w:top w:val="none" w:sz="0" w:space="0" w:color="auto"/>
            <w:left w:val="none" w:sz="0" w:space="0" w:color="auto"/>
            <w:bottom w:val="none" w:sz="0" w:space="0" w:color="auto"/>
            <w:right w:val="none" w:sz="0" w:space="0" w:color="auto"/>
          </w:divBdr>
        </w:div>
        <w:div w:id="405537140">
          <w:marLeft w:val="0"/>
          <w:marRight w:val="0"/>
          <w:marTop w:val="0"/>
          <w:marBottom w:val="0"/>
          <w:divBdr>
            <w:top w:val="none" w:sz="0" w:space="0" w:color="auto"/>
            <w:left w:val="none" w:sz="0" w:space="0" w:color="auto"/>
            <w:bottom w:val="none" w:sz="0" w:space="0" w:color="auto"/>
            <w:right w:val="none" w:sz="0" w:space="0" w:color="auto"/>
          </w:divBdr>
        </w:div>
        <w:div w:id="845293317">
          <w:marLeft w:val="0"/>
          <w:marRight w:val="0"/>
          <w:marTop w:val="0"/>
          <w:marBottom w:val="0"/>
          <w:divBdr>
            <w:top w:val="none" w:sz="0" w:space="0" w:color="auto"/>
            <w:left w:val="none" w:sz="0" w:space="0" w:color="auto"/>
            <w:bottom w:val="none" w:sz="0" w:space="0" w:color="auto"/>
            <w:right w:val="none" w:sz="0" w:space="0" w:color="auto"/>
          </w:divBdr>
        </w:div>
        <w:div w:id="1016005082">
          <w:marLeft w:val="0"/>
          <w:marRight w:val="0"/>
          <w:marTop w:val="0"/>
          <w:marBottom w:val="0"/>
          <w:divBdr>
            <w:top w:val="none" w:sz="0" w:space="0" w:color="auto"/>
            <w:left w:val="none" w:sz="0" w:space="0" w:color="auto"/>
            <w:bottom w:val="none" w:sz="0" w:space="0" w:color="auto"/>
            <w:right w:val="none" w:sz="0" w:space="0" w:color="auto"/>
          </w:divBdr>
        </w:div>
        <w:div w:id="1110734115">
          <w:marLeft w:val="0"/>
          <w:marRight w:val="0"/>
          <w:marTop w:val="0"/>
          <w:marBottom w:val="0"/>
          <w:divBdr>
            <w:top w:val="none" w:sz="0" w:space="0" w:color="auto"/>
            <w:left w:val="none" w:sz="0" w:space="0" w:color="auto"/>
            <w:bottom w:val="none" w:sz="0" w:space="0" w:color="auto"/>
            <w:right w:val="none" w:sz="0" w:space="0" w:color="auto"/>
          </w:divBdr>
        </w:div>
        <w:div w:id="1618097695">
          <w:marLeft w:val="0"/>
          <w:marRight w:val="0"/>
          <w:marTop w:val="0"/>
          <w:marBottom w:val="0"/>
          <w:divBdr>
            <w:top w:val="none" w:sz="0" w:space="0" w:color="auto"/>
            <w:left w:val="none" w:sz="0" w:space="0" w:color="auto"/>
            <w:bottom w:val="none" w:sz="0" w:space="0" w:color="auto"/>
            <w:right w:val="none" w:sz="0" w:space="0" w:color="auto"/>
          </w:divBdr>
        </w:div>
        <w:div w:id="1669626106">
          <w:marLeft w:val="0"/>
          <w:marRight w:val="0"/>
          <w:marTop w:val="0"/>
          <w:marBottom w:val="0"/>
          <w:divBdr>
            <w:top w:val="none" w:sz="0" w:space="0" w:color="auto"/>
            <w:left w:val="none" w:sz="0" w:space="0" w:color="auto"/>
            <w:bottom w:val="none" w:sz="0" w:space="0" w:color="auto"/>
            <w:right w:val="none" w:sz="0" w:space="0" w:color="auto"/>
          </w:divBdr>
        </w:div>
        <w:div w:id="1789348007">
          <w:marLeft w:val="0"/>
          <w:marRight w:val="0"/>
          <w:marTop w:val="0"/>
          <w:marBottom w:val="0"/>
          <w:divBdr>
            <w:top w:val="none" w:sz="0" w:space="0" w:color="auto"/>
            <w:left w:val="none" w:sz="0" w:space="0" w:color="auto"/>
            <w:bottom w:val="none" w:sz="0" w:space="0" w:color="auto"/>
            <w:right w:val="none" w:sz="0" w:space="0" w:color="auto"/>
          </w:divBdr>
        </w:div>
        <w:div w:id="1942491662">
          <w:marLeft w:val="0"/>
          <w:marRight w:val="0"/>
          <w:marTop w:val="0"/>
          <w:marBottom w:val="0"/>
          <w:divBdr>
            <w:top w:val="none" w:sz="0" w:space="0" w:color="auto"/>
            <w:left w:val="none" w:sz="0" w:space="0" w:color="auto"/>
            <w:bottom w:val="none" w:sz="0" w:space="0" w:color="auto"/>
            <w:right w:val="none" w:sz="0" w:space="0" w:color="auto"/>
          </w:divBdr>
        </w:div>
      </w:divsChild>
    </w:div>
    <w:div w:id="1419713690">
      <w:bodyDiv w:val="1"/>
      <w:marLeft w:val="0"/>
      <w:marRight w:val="0"/>
      <w:marTop w:val="0"/>
      <w:marBottom w:val="0"/>
      <w:divBdr>
        <w:top w:val="none" w:sz="0" w:space="0" w:color="auto"/>
        <w:left w:val="none" w:sz="0" w:space="0" w:color="auto"/>
        <w:bottom w:val="none" w:sz="0" w:space="0" w:color="auto"/>
        <w:right w:val="none" w:sz="0" w:space="0" w:color="auto"/>
      </w:divBdr>
    </w:div>
    <w:div w:id="1927686568">
      <w:bodyDiv w:val="1"/>
      <w:marLeft w:val="0"/>
      <w:marRight w:val="0"/>
      <w:marTop w:val="0"/>
      <w:marBottom w:val="0"/>
      <w:divBdr>
        <w:top w:val="none" w:sz="0" w:space="0" w:color="auto"/>
        <w:left w:val="none" w:sz="0" w:space="0" w:color="auto"/>
        <w:bottom w:val="none" w:sz="0" w:space="0" w:color="auto"/>
        <w:right w:val="none" w:sz="0" w:space="0" w:color="auto"/>
      </w:divBdr>
      <w:divsChild>
        <w:div w:id="48038173">
          <w:marLeft w:val="0"/>
          <w:marRight w:val="0"/>
          <w:marTop w:val="0"/>
          <w:marBottom w:val="0"/>
          <w:divBdr>
            <w:top w:val="none" w:sz="0" w:space="0" w:color="auto"/>
            <w:left w:val="none" w:sz="0" w:space="0" w:color="auto"/>
            <w:bottom w:val="none" w:sz="0" w:space="0" w:color="auto"/>
            <w:right w:val="none" w:sz="0" w:space="0" w:color="auto"/>
          </w:divBdr>
        </w:div>
        <w:div w:id="260258783">
          <w:marLeft w:val="0"/>
          <w:marRight w:val="0"/>
          <w:marTop w:val="0"/>
          <w:marBottom w:val="0"/>
          <w:divBdr>
            <w:top w:val="none" w:sz="0" w:space="0" w:color="auto"/>
            <w:left w:val="none" w:sz="0" w:space="0" w:color="auto"/>
            <w:bottom w:val="none" w:sz="0" w:space="0" w:color="auto"/>
            <w:right w:val="none" w:sz="0" w:space="0" w:color="auto"/>
          </w:divBdr>
        </w:div>
        <w:div w:id="290289180">
          <w:marLeft w:val="0"/>
          <w:marRight w:val="0"/>
          <w:marTop w:val="0"/>
          <w:marBottom w:val="0"/>
          <w:divBdr>
            <w:top w:val="none" w:sz="0" w:space="0" w:color="auto"/>
            <w:left w:val="none" w:sz="0" w:space="0" w:color="auto"/>
            <w:bottom w:val="none" w:sz="0" w:space="0" w:color="auto"/>
            <w:right w:val="none" w:sz="0" w:space="0" w:color="auto"/>
          </w:divBdr>
        </w:div>
        <w:div w:id="317928104">
          <w:marLeft w:val="0"/>
          <w:marRight w:val="0"/>
          <w:marTop w:val="0"/>
          <w:marBottom w:val="0"/>
          <w:divBdr>
            <w:top w:val="none" w:sz="0" w:space="0" w:color="auto"/>
            <w:left w:val="none" w:sz="0" w:space="0" w:color="auto"/>
            <w:bottom w:val="none" w:sz="0" w:space="0" w:color="auto"/>
            <w:right w:val="none" w:sz="0" w:space="0" w:color="auto"/>
          </w:divBdr>
        </w:div>
        <w:div w:id="437722962">
          <w:marLeft w:val="0"/>
          <w:marRight w:val="0"/>
          <w:marTop w:val="0"/>
          <w:marBottom w:val="0"/>
          <w:divBdr>
            <w:top w:val="none" w:sz="0" w:space="0" w:color="auto"/>
            <w:left w:val="none" w:sz="0" w:space="0" w:color="auto"/>
            <w:bottom w:val="none" w:sz="0" w:space="0" w:color="auto"/>
            <w:right w:val="none" w:sz="0" w:space="0" w:color="auto"/>
          </w:divBdr>
        </w:div>
        <w:div w:id="532423518">
          <w:marLeft w:val="0"/>
          <w:marRight w:val="0"/>
          <w:marTop w:val="0"/>
          <w:marBottom w:val="0"/>
          <w:divBdr>
            <w:top w:val="none" w:sz="0" w:space="0" w:color="auto"/>
            <w:left w:val="none" w:sz="0" w:space="0" w:color="auto"/>
            <w:bottom w:val="none" w:sz="0" w:space="0" w:color="auto"/>
            <w:right w:val="none" w:sz="0" w:space="0" w:color="auto"/>
          </w:divBdr>
        </w:div>
        <w:div w:id="770247988">
          <w:marLeft w:val="0"/>
          <w:marRight w:val="0"/>
          <w:marTop w:val="0"/>
          <w:marBottom w:val="0"/>
          <w:divBdr>
            <w:top w:val="none" w:sz="0" w:space="0" w:color="auto"/>
            <w:left w:val="none" w:sz="0" w:space="0" w:color="auto"/>
            <w:bottom w:val="none" w:sz="0" w:space="0" w:color="auto"/>
            <w:right w:val="none" w:sz="0" w:space="0" w:color="auto"/>
          </w:divBdr>
        </w:div>
        <w:div w:id="894313955">
          <w:marLeft w:val="0"/>
          <w:marRight w:val="0"/>
          <w:marTop w:val="0"/>
          <w:marBottom w:val="0"/>
          <w:divBdr>
            <w:top w:val="none" w:sz="0" w:space="0" w:color="auto"/>
            <w:left w:val="none" w:sz="0" w:space="0" w:color="auto"/>
            <w:bottom w:val="none" w:sz="0" w:space="0" w:color="auto"/>
            <w:right w:val="none" w:sz="0" w:space="0" w:color="auto"/>
          </w:divBdr>
        </w:div>
        <w:div w:id="913049431">
          <w:marLeft w:val="0"/>
          <w:marRight w:val="0"/>
          <w:marTop w:val="0"/>
          <w:marBottom w:val="0"/>
          <w:divBdr>
            <w:top w:val="none" w:sz="0" w:space="0" w:color="auto"/>
            <w:left w:val="none" w:sz="0" w:space="0" w:color="auto"/>
            <w:bottom w:val="none" w:sz="0" w:space="0" w:color="auto"/>
            <w:right w:val="none" w:sz="0" w:space="0" w:color="auto"/>
          </w:divBdr>
        </w:div>
        <w:div w:id="932129959">
          <w:marLeft w:val="0"/>
          <w:marRight w:val="0"/>
          <w:marTop w:val="0"/>
          <w:marBottom w:val="0"/>
          <w:divBdr>
            <w:top w:val="none" w:sz="0" w:space="0" w:color="auto"/>
            <w:left w:val="none" w:sz="0" w:space="0" w:color="auto"/>
            <w:bottom w:val="none" w:sz="0" w:space="0" w:color="auto"/>
            <w:right w:val="none" w:sz="0" w:space="0" w:color="auto"/>
          </w:divBdr>
        </w:div>
        <w:div w:id="1013999634">
          <w:marLeft w:val="0"/>
          <w:marRight w:val="0"/>
          <w:marTop w:val="0"/>
          <w:marBottom w:val="0"/>
          <w:divBdr>
            <w:top w:val="none" w:sz="0" w:space="0" w:color="auto"/>
            <w:left w:val="none" w:sz="0" w:space="0" w:color="auto"/>
            <w:bottom w:val="none" w:sz="0" w:space="0" w:color="auto"/>
            <w:right w:val="none" w:sz="0" w:space="0" w:color="auto"/>
          </w:divBdr>
        </w:div>
        <w:div w:id="1727488692">
          <w:marLeft w:val="0"/>
          <w:marRight w:val="0"/>
          <w:marTop w:val="0"/>
          <w:marBottom w:val="0"/>
          <w:divBdr>
            <w:top w:val="none" w:sz="0" w:space="0" w:color="auto"/>
            <w:left w:val="none" w:sz="0" w:space="0" w:color="auto"/>
            <w:bottom w:val="none" w:sz="0" w:space="0" w:color="auto"/>
            <w:right w:val="none" w:sz="0" w:space="0" w:color="auto"/>
          </w:divBdr>
        </w:div>
        <w:div w:id="1859200564">
          <w:marLeft w:val="0"/>
          <w:marRight w:val="0"/>
          <w:marTop w:val="0"/>
          <w:marBottom w:val="0"/>
          <w:divBdr>
            <w:top w:val="none" w:sz="0" w:space="0" w:color="auto"/>
            <w:left w:val="none" w:sz="0" w:space="0" w:color="auto"/>
            <w:bottom w:val="none" w:sz="0" w:space="0" w:color="auto"/>
            <w:right w:val="none" w:sz="0" w:space="0" w:color="auto"/>
          </w:divBdr>
        </w:div>
        <w:div w:id="2113553339">
          <w:marLeft w:val="0"/>
          <w:marRight w:val="0"/>
          <w:marTop w:val="0"/>
          <w:marBottom w:val="0"/>
          <w:divBdr>
            <w:top w:val="none" w:sz="0" w:space="0" w:color="auto"/>
            <w:left w:val="none" w:sz="0" w:space="0" w:color="auto"/>
            <w:bottom w:val="none" w:sz="0" w:space="0" w:color="auto"/>
            <w:right w:val="none" w:sz="0" w:space="0" w:color="auto"/>
          </w:divBdr>
        </w:div>
      </w:divsChild>
    </w:div>
    <w:div w:id="2031179672">
      <w:bodyDiv w:val="1"/>
      <w:marLeft w:val="0"/>
      <w:marRight w:val="0"/>
      <w:marTop w:val="0"/>
      <w:marBottom w:val="0"/>
      <w:divBdr>
        <w:top w:val="none" w:sz="0" w:space="0" w:color="auto"/>
        <w:left w:val="none" w:sz="0" w:space="0" w:color="auto"/>
        <w:bottom w:val="none" w:sz="0" w:space="0" w:color="auto"/>
        <w:right w:val="none" w:sz="0" w:space="0" w:color="auto"/>
      </w:divBdr>
    </w:div>
    <w:div w:id="2073195803">
      <w:bodyDiv w:val="1"/>
      <w:marLeft w:val="0"/>
      <w:marRight w:val="0"/>
      <w:marTop w:val="0"/>
      <w:marBottom w:val="0"/>
      <w:divBdr>
        <w:top w:val="none" w:sz="0" w:space="0" w:color="auto"/>
        <w:left w:val="none" w:sz="0" w:space="0" w:color="auto"/>
        <w:bottom w:val="none" w:sz="0" w:space="0" w:color="auto"/>
        <w:right w:val="none" w:sz="0" w:space="0" w:color="auto"/>
      </w:divBdr>
    </w:div>
    <w:div w:id="2123567788">
      <w:bodyDiv w:val="1"/>
      <w:marLeft w:val="0"/>
      <w:marRight w:val="0"/>
      <w:marTop w:val="0"/>
      <w:marBottom w:val="0"/>
      <w:divBdr>
        <w:top w:val="none" w:sz="0" w:space="0" w:color="auto"/>
        <w:left w:val="none" w:sz="0" w:space="0" w:color="auto"/>
        <w:bottom w:val="none" w:sz="0" w:space="0" w:color="auto"/>
        <w:right w:val="none" w:sz="0" w:space="0" w:color="auto"/>
      </w:divBdr>
      <w:divsChild>
        <w:div w:id="113984790">
          <w:marLeft w:val="0"/>
          <w:marRight w:val="0"/>
          <w:marTop w:val="0"/>
          <w:marBottom w:val="0"/>
          <w:divBdr>
            <w:top w:val="none" w:sz="0" w:space="0" w:color="auto"/>
            <w:left w:val="none" w:sz="0" w:space="0" w:color="auto"/>
            <w:bottom w:val="none" w:sz="0" w:space="0" w:color="auto"/>
            <w:right w:val="none" w:sz="0" w:space="0" w:color="auto"/>
          </w:divBdr>
        </w:div>
        <w:div w:id="126629812">
          <w:marLeft w:val="0"/>
          <w:marRight w:val="0"/>
          <w:marTop w:val="0"/>
          <w:marBottom w:val="0"/>
          <w:divBdr>
            <w:top w:val="none" w:sz="0" w:space="0" w:color="auto"/>
            <w:left w:val="none" w:sz="0" w:space="0" w:color="auto"/>
            <w:bottom w:val="none" w:sz="0" w:space="0" w:color="auto"/>
            <w:right w:val="none" w:sz="0" w:space="0" w:color="auto"/>
          </w:divBdr>
        </w:div>
        <w:div w:id="138037116">
          <w:marLeft w:val="0"/>
          <w:marRight w:val="0"/>
          <w:marTop w:val="0"/>
          <w:marBottom w:val="0"/>
          <w:divBdr>
            <w:top w:val="none" w:sz="0" w:space="0" w:color="auto"/>
            <w:left w:val="none" w:sz="0" w:space="0" w:color="auto"/>
            <w:bottom w:val="none" w:sz="0" w:space="0" w:color="auto"/>
            <w:right w:val="none" w:sz="0" w:space="0" w:color="auto"/>
          </w:divBdr>
        </w:div>
        <w:div w:id="200558610">
          <w:marLeft w:val="0"/>
          <w:marRight w:val="0"/>
          <w:marTop w:val="0"/>
          <w:marBottom w:val="0"/>
          <w:divBdr>
            <w:top w:val="none" w:sz="0" w:space="0" w:color="auto"/>
            <w:left w:val="none" w:sz="0" w:space="0" w:color="auto"/>
            <w:bottom w:val="none" w:sz="0" w:space="0" w:color="auto"/>
            <w:right w:val="none" w:sz="0" w:space="0" w:color="auto"/>
          </w:divBdr>
        </w:div>
        <w:div w:id="473988595">
          <w:marLeft w:val="0"/>
          <w:marRight w:val="0"/>
          <w:marTop w:val="0"/>
          <w:marBottom w:val="0"/>
          <w:divBdr>
            <w:top w:val="none" w:sz="0" w:space="0" w:color="auto"/>
            <w:left w:val="none" w:sz="0" w:space="0" w:color="auto"/>
            <w:bottom w:val="none" w:sz="0" w:space="0" w:color="auto"/>
            <w:right w:val="none" w:sz="0" w:space="0" w:color="auto"/>
          </w:divBdr>
        </w:div>
        <w:div w:id="920065371">
          <w:marLeft w:val="0"/>
          <w:marRight w:val="0"/>
          <w:marTop w:val="0"/>
          <w:marBottom w:val="0"/>
          <w:divBdr>
            <w:top w:val="none" w:sz="0" w:space="0" w:color="auto"/>
            <w:left w:val="none" w:sz="0" w:space="0" w:color="auto"/>
            <w:bottom w:val="none" w:sz="0" w:space="0" w:color="auto"/>
            <w:right w:val="none" w:sz="0" w:space="0" w:color="auto"/>
          </w:divBdr>
        </w:div>
        <w:div w:id="1062098009">
          <w:marLeft w:val="0"/>
          <w:marRight w:val="0"/>
          <w:marTop w:val="0"/>
          <w:marBottom w:val="0"/>
          <w:divBdr>
            <w:top w:val="none" w:sz="0" w:space="0" w:color="auto"/>
            <w:left w:val="none" w:sz="0" w:space="0" w:color="auto"/>
            <w:bottom w:val="none" w:sz="0" w:space="0" w:color="auto"/>
            <w:right w:val="none" w:sz="0" w:space="0" w:color="auto"/>
          </w:divBdr>
        </w:div>
        <w:div w:id="1225986453">
          <w:marLeft w:val="0"/>
          <w:marRight w:val="0"/>
          <w:marTop w:val="0"/>
          <w:marBottom w:val="0"/>
          <w:divBdr>
            <w:top w:val="none" w:sz="0" w:space="0" w:color="auto"/>
            <w:left w:val="none" w:sz="0" w:space="0" w:color="auto"/>
            <w:bottom w:val="none" w:sz="0" w:space="0" w:color="auto"/>
            <w:right w:val="none" w:sz="0" w:space="0" w:color="auto"/>
          </w:divBdr>
        </w:div>
        <w:div w:id="1636333074">
          <w:marLeft w:val="0"/>
          <w:marRight w:val="0"/>
          <w:marTop w:val="0"/>
          <w:marBottom w:val="0"/>
          <w:divBdr>
            <w:top w:val="none" w:sz="0" w:space="0" w:color="auto"/>
            <w:left w:val="none" w:sz="0" w:space="0" w:color="auto"/>
            <w:bottom w:val="none" w:sz="0" w:space="0" w:color="auto"/>
            <w:right w:val="none" w:sz="0" w:space="0" w:color="auto"/>
          </w:divBdr>
        </w:div>
        <w:div w:id="1743285843">
          <w:marLeft w:val="0"/>
          <w:marRight w:val="0"/>
          <w:marTop w:val="0"/>
          <w:marBottom w:val="0"/>
          <w:divBdr>
            <w:top w:val="none" w:sz="0" w:space="0" w:color="auto"/>
            <w:left w:val="none" w:sz="0" w:space="0" w:color="auto"/>
            <w:bottom w:val="none" w:sz="0" w:space="0" w:color="auto"/>
            <w:right w:val="none" w:sz="0" w:space="0" w:color="auto"/>
          </w:divBdr>
        </w:div>
        <w:div w:id="1806586710">
          <w:marLeft w:val="0"/>
          <w:marRight w:val="0"/>
          <w:marTop w:val="0"/>
          <w:marBottom w:val="0"/>
          <w:divBdr>
            <w:top w:val="none" w:sz="0" w:space="0" w:color="auto"/>
            <w:left w:val="none" w:sz="0" w:space="0" w:color="auto"/>
            <w:bottom w:val="none" w:sz="0" w:space="0" w:color="auto"/>
            <w:right w:val="none" w:sz="0" w:space="0" w:color="auto"/>
          </w:divBdr>
        </w:div>
        <w:div w:id="1930499487">
          <w:marLeft w:val="0"/>
          <w:marRight w:val="0"/>
          <w:marTop w:val="0"/>
          <w:marBottom w:val="0"/>
          <w:divBdr>
            <w:top w:val="none" w:sz="0" w:space="0" w:color="auto"/>
            <w:left w:val="none" w:sz="0" w:space="0" w:color="auto"/>
            <w:bottom w:val="none" w:sz="0" w:space="0" w:color="auto"/>
            <w:right w:val="none" w:sz="0" w:space="0" w:color="auto"/>
          </w:divBdr>
        </w:div>
        <w:div w:id="2072146086">
          <w:marLeft w:val="0"/>
          <w:marRight w:val="0"/>
          <w:marTop w:val="0"/>
          <w:marBottom w:val="0"/>
          <w:divBdr>
            <w:top w:val="none" w:sz="0" w:space="0" w:color="auto"/>
            <w:left w:val="none" w:sz="0" w:space="0" w:color="auto"/>
            <w:bottom w:val="none" w:sz="0" w:space="0" w:color="auto"/>
            <w:right w:val="none" w:sz="0" w:space="0" w:color="auto"/>
          </w:divBdr>
        </w:div>
        <w:div w:id="2084522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9438C1D4DD57458A050D461447AF3E" ma:contentTypeVersion="15" ma:contentTypeDescription="Vytvoří nový dokument" ma:contentTypeScope="" ma:versionID="753e1e942dab073b90de5613da8c770f">
  <xsd:schema xmlns:xsd="http://www.w3.org/2001/XMLSchema" xmlns:xs="http://www.w3.org/2001/XMLSchema" xmlns:p="http://schemas.microsoft.com/office/2006/metadata/properties" xmlns:ns2="a6c8c619-f7c9-4e85-a335-4987b594f627" xmlns:ns3="663bfd1d-2611-43d7-adb1-085579aef6c4" targetNamespace="http://schemas.microsoft.com/office/2006/metadata/properties" ma:root="true" ma:fieldsID="06bd499aa4e4eb46b99dff66b30ee5b8" ns2:_="" ns3:_="">
    <xsd:import namespace="a6c8c619-f7c9-4e85-a335-4987b594f627"/>
    <xsd:import namespace="663bfd1d-2611-43d7-adb1-085579aef6c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8c619-f7c9-4e85-a335-4987b594f6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3bfd1d-2611-43d7-adb1-085579aef6c4"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88ccfb9-88cc-41d0-a6df-4138e33f3b88}" ma:internalName="TaxCatchAll" ma:showField="CatchAllData" ma:web="663bfd1d-2611-43d7-adb1-085579aef6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63bfd1d-2611-43d7-adb1-085579aef6c4" xsi:nil="true"/>
    <lcf76f155ced4ddcb4097134ff3c332f xmlns="a6c8c619-f7c9-4e85-a335-4987b594f62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A6CF8-1BD0-4BCD-A5A5-F0754CDD2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8c619-f7c9-4e85-a335-4987b594f627"/>
    <ds:schemaRef ds:uri="663bfd1d-2611-43d7-adb1-085579aef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7E8C2B-4AD1-492D-9210-370A86AAFA63}">
  <ds:schemaRefs>
    <ds:schemaRef ds:uri="http://schemas.microsoft.com/sharepoint/v3/contenttype/forms"/>
  </ds:schemaRefs>
</ds:datastoreItem>
</file>

<file path=customXml/itemProps3.xml><?xml version="1.0" encoding="utf-8"?>
<ds:datastoreItem xmlns:ds="http://schemas.openxmlformats.org/officeDocument/2006/customXml" ds:itemID="{236B7374-090B-4E78-8BEC-FA69FAD807D3}">
  <ds:schemaRefs>
    <ds:schemaRef ds:uri="a6c8c619-f7c9-4e85-a335-4987b594f627"/>
    <ds:schemaRef ds:uri="663bfd1d-2611-43d7-adb1-085579aef6c4"/>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399E53D5-0346-4813-843A-6AA900D2E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3200</Words>
  <Characters>18880</Characters>
  <Application>Microsoft Office Word</Application>
  <DocSecurity>0</DocSecurity>
  <Lines>157</Lines>
  <Paragraphs>44</Paragraphs>
  <ScaleCrop>false</ScaleCrop>
  <Company/>
  <LinksUpToDate>false</LinksUpToDate>
  <CharactersWithSpaces>22036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Standlova@spravazeleznic.cz</dc:creator>
  <cp:keywords/>
  <cp:lastModifiedBy>Zajíčková Veronika, Mgr.</cp:lastModifiedBy>
  <cp:revision>3</cp:revision>
  <dcterms:created xsi:type="dcterms:W3CDTF">2025-01-22T11:01:00Z</dcterms:created>
  <dcterms:modified xsi:type="dcterms:W3CDTF">2025-01-22T11:03:00Z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0x010100F09438C1D4DD57458A050D461447AF3E</vt:lpwstr>
  </property>
  <property fmtid="{D5CDD505-2E9C-101B-9397-08002B2CF9AE}" pid="3" name="MediaServiceImageTags">
    <vt:lpwstr/>
  </property>
</Properties>
</file>